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A4952" w:rsidRDefault="00C56E6B">
      <w:pPr>
        <w:tabs>
          <w:tab w:val="center" w:pos="4536"/>
          <w:tab w:val="right" w:pos="9072"/>
        </w:tabs>
        <w:spacing w:before="120" w:after="120"/>
        <w:rPr>
          <w:b/>
          <w:sz w:val="24"/>
          <w:szCs w:val="24"/>
        </w:rPr>
      </w:pPr>
      <w:r>
        <w:rPr>
          <w:rFonts w:eastAsia="Batang"/>
          <w:b/>
          <w:sz w:val="24"/>
          <w:szCs w:val="24"/>
          <w:lang w:eastAsia="ja-JP"/>
        </w:rPr>
        <w:t>3GPP TSG RAN WG1 #10</w:t>
      </w:r>
      <w:r>
        <w:rPr>
          <w:b/>
          <w:sz w:val="24"/>
          <w:szCs w:val="24"/>
        </w:rPr>
        <w:t>6</w:t>
      </w:r>
      <w:r>
        <w:rPr>
          <w:rFonts w:hint="eastAsia"/>
          <w:b/>
          <w:sz w:val="24"/>
          <w:szCs w:val="24"/>
        </w:rPr>
        <w:t>b</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r>
        <w:rPr>
          <w:rFonts w:eastAsia="Batang" w:hint="eastAsia"/>
          <w:b/>
          <w:sz w:val="24"/>
          <w:szCs w:val="24"/>
          <w:lang w:eastAsia="ja-JP"/>
        </w:rPr>
        <w:t>R1-21</w:t>
      </w:r>
      <w:bookmarkEnd w:id="0"/>
      <w:r>
        <w:rPr>
          <w:rFonts w:hint="eastAsia"/>
          <w:b/>
          <w:sz w:val="24"/>
          <w:szCs w:val="24"/>
        </w:rPr>
        <w:t>08867</w:t>
      </w:r>
    </w:p>
    <w:p w:rsidR="00BA4952" w:rsidRDefault="00C56E6B">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Oct</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Oct</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rsidR="00BA4952" w:rsidRDefault="00C56E6B">
      <w:pPr>
        <w:tabs>
          <w:tab w:val="center" w:pos="4536"/>
          <w:tab w:val="right" w:pos="9072"/>
        </w:tabs>
        <w:spacing w:before="120" w:after="120"/>
        <w:rPr>
          <w:b/>
          <w:sz w:val="22"/>
          <w:szCs w:val="22"/>
        </w:rPr>
      </w:pPr>
      <w:r>
        <w:rPr>
          <w:b/>
          <w:sz w:val="22"/>
          <w:szCs w:val="22"/>
        </w:rPr>
        <w:tab/>
      </w:r>
    </w:p>
    <w:p w:rsidR="00BA4952" w:rsidRDefault="00C56E6B">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BA4952" w:rsidRDefault="00C56E6B">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Extension to Rel-16 DCI-based power saving adaptation during DRX Active Time</w:t>
      </w:r>
    </w:p>
    <w:p w:rsidR="00BA4952" w:rsidRDefault="00C56E6B">
      <w:pPr>
        <w:tabs>
          <w:tab w:val="left" w:pos="1985"/>
        </w:tabs>
        <w:spacing w:before="120" w:after="120" w:line="240" w:lineRule="auto"/>
        <w:rPr>
          <w:b/>
          <w:sz w:val="22"/>
          <w:szCs w:val="22"/>
        </w:rPr>
      </w:pPr>
      <w:r>
        <w:rPr>
          <w:b/>
          <w:sz w:val="22"/>
          <w:szCs w:val="22"/>
          <w:lang w:val="pt-BR"/>
        </w:rPr>
        <w:t>Agenda item:</w:t>
      </w:r>
      <w:r>
        <w:rPr>
          <w:b/>
          <w:sz w:val="22"/>
          <w:szCs w:val="22"/>
          <w:lang w:val="pt-BR"/>
        </w:rPr>
        <w:tab/>
        <w:t>8.7.</w:t>
      </w:r>
      <w:r>
        <w:rPr>
          <w:b/>
          <w:sz w:val="22"/>
          <w:szCs w:val="22"/>
        </w:rPr>
        <w:t>2</w:t>
      </w:r>
      <w:bookmarkStart w:id="1" w:name="_GoBack"/>
      <w:bookmarkEnd w:id="1"/>
    </w:p>
    <w:p w:rsidR="00BA4952" w:rsidRDefault="00C56E6B">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BA4952" w:rsidRDefault="00C56E6B">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BA4952" w:rsidRDefault="00C56E6B">
      <w:pPr>
        <w:spacing w:before="120" w:after="120"/>
      </w:pPr>
      <w:r w:rsidRPr="00847C97">
        <w:t xml:space="preserve">In 3GPP TSG RAN1#106-e meeting, the conclusion of PDCCH monitoring adaptation was reached as follows </w:t>
      </w:r>
      <w:r w:rsidRPr="00D23CE0">
        <w:t>[1]</w:t>
      </w:r>
      <w:r w:rsidRPr="00847C97">
        <w:t>.</w:t>
      </w:r>
    </w:p>
    <w:tbl>
      <w:tblPr>
        <w:tblStyle w:val="ac"/>
        <w:tblW w:w="0" w:type="auto"/>
        <w:jc w:val="center"/>
        <w:tblLook w:val="04A0" w:firstRow="1" w:lastRow="0" w:firstColumn="1" w:lastColumn="0" w:noHBand="0" w:noVBand="1"/>
      </w:tblPr>
      <w:tblGrid>
        <w:gridCol w:w="9660"/>
      </w:tblGrid>
      <w:tr w:rsidR="00BA4952">
        <w:trPr>
          <w:trHeight w:val="488"/>
          <w:jc w:val="center"/>
        </w:trPr>
        <w:tc>
          <w:tcPr>
            <w:tcW w:w="9660" w:type="dxa"/>
          </w:tcPr>
          <w:p w:rsidR="00BA4952" w:rsidRDefault="00C56E6B">
            <w:pPr>
              <w:spacing w:beforeLines="0" w:before="0" w:afterLines="0" w:after="0"/>
              <w:rPr>
                <w:szCs w:val="21"/>
                <w:highlight w:val="green"/>
              </w:rPr>
            </w:pPr>
            <w:r>
              <w:rPr>
                <w:szCs w:val="21"/>
                <w:highlight w:val="green"/>
              </w:rPr>
              <w:t>Agreement</w:t>
            </w:r>
          </w:p>
          <w:p w:rsidR="00BA4952" w:rsidRDefault="00C56E6B">
            <w:pPr>
              <w:pStyle w:val="af1"/>
              <w:numPr>
                <w:ilvl w:val="0"/>
                <w:numId w:val="8"/>
              </w:numPr>
              <w:spacing w:before="0" w:afterLines="0" w:line="259" w:lineRule="auto"/>
              <w:rPr>
                <w:sz w:val="21"/>
                <w:szCs w:val="21"/>
              </w:rPr>
            </w:pPr>
            <w:r>
              <w:rPr>
                <w:sz w:val="21"/>
                <w:szCs w:val="21"/>
              </w:rPr>
              <w:t xml:space="preserve">At most 2 bit indication in self-scheduling DCIs </w:t>
            </w:r>
            <w:r>
              <w:rPr>
                <w:rFonts w:eastAsia="DengXian"/>
                <w:sz w:val="21"/>
                <w:szCs w:val="21"/>
              </w:rPr>
              <w:t xml:space="preserve">(i.e., DCI format 1-1/0-1/1-2/0-2) </w:t>
            </w:r>
            <w:r>
              <w:rPr>
                <w:sz w:val="21"/>
                <w:szCs w:val="21"/>
              </w:rPr>
              <w:t>can be specified for triggering the PDCCH monitoring adaptation</w:t>
            </w:r>
            <w:r>
              <w:rPr>
                <w:rFonts w:eastAsia="DengXian"/>
                <w:sz w:val="21"/>
                <w:szCs w:val="21"/>
              </w:rPr>
              <w:t xml:space="preserve"> in a single cell</w:t>
            </w:r>
          </w:p>
          <w:p w:rsidR="00BA4952" w:rsidRDefault="00C56E6B">
            <w:pPr>
              <w:pStyle w:val="af1"/>
              <w:numPr>
                <w:ilvl w:val="1"/>
                <w:numId w:val="8"/>
              </w:numPr>
              <w:spacing w:before="0" w:afterLines="0" w:line="259" w:lineRule="auto"/>
              <w:rPr>
                <w:sz w:val="21"/>
                <w:szCs w:val="21"/>
              </w:rPr>
            </w:pPr>
            <w:r>
              <w:rPr>
                <w:rFonts w:eastAsia="DengXian"/>
                <w:sz w:val="21"/>
                <w:szCs w:val="21"/>
              </w:rPr>
              <w:t xml:space="preserve">FFS: the bit size of the indication is configurable </w:t>
            </w:r>
          </w:p>
          <w:p w:rsidR="00BA4952" w:rsidRDefault="00C56E6B">
            <w:pPr>
              <w:pStyle w:val="af1"/>
              <w:numPr>
                <w:ilvl w:val="1"/>
                <w:numId w:val="8"/>
              </w:numPr>
              <w:spacing w:before="0" w:afterLines="0" w:line="259" w:lineRule="auto"/>
              <w:rPr>
                <w:sz w:val="21"/>
                <w:szCs w:val="21"/>
              </w:rPr>
            </w:pPr>
            <w:r>
              <w:rPr>
                <w:rFonts w:eastAsia="DengXian"/>
                <w:sz w:val="21"/>
                <w:szCs w:val="21"/>
              </w:rPr>
              <w:t xml:space="preserve">FFS: bit mapping to the PDCCH monitoring behaviour </w:t>
            </w:r>
          </w:p>
          <w:p w:rsidR="00BA4952" w:rsidRDefault="00C56E6B">
            <w:pPr>
              <w:pStyle w:val="af1"/>
              <w:numPr>
                <w:ilvl w:val="1"/>
                <w:numId w:val="8"/>
              </w:numPr>
              <w:spacing w:before="0" w:afterLines="0" w:line="259" w:lineRule="auto"/>
              <w:rPr>
                <w:sz w:val="21"/>
                <w:szCs w:val="21"/>
              </w:rPr>
            </w:pPr>
            <w:r>
              <w:rPr>
                <w:rFonts w:eastAsia="DengXian"/>
                <w:sz w:val="21"/>
                <w:szCs w:val="21"/>
              </w:rPr>
              <w:t>FFS: details of indication of multiple cells case</w:t>
            </w:r>
          </w:p>
          <w:p w:rsidR="00BA4952" w:rsidRDefault="00BA4952">
            <w:pPr>
              <w:pStyle w:val="af1"/>
              <w:numPr>
                <w:ilvl w:val="255"/>
                <w:numId w:val="0"/>
              </w:numPr>
              <w:spacing w:after="120" w:line="259" w:lineRule="auto"/>
              <w:rPr>
                <w:sz w:val="21"/>
                <w:szCs w:val="21"/>
              </w:rPr>
            </w:pPr>
          </w:p>
          <w:p w:rsidR="00BA4952" w:rsidRDefault="00C56E6B">
            <w:pPr>
              <w:spacing w:beforeLines="0" w:before="0" w:afterLines="0" w:after="0"/>
              <w:rPr>
                <w:rFonts w:eastAsia="DengXian"/>
                <w:szCs w:val="21"/>
                <w:highlight w:val="green"/>
              </w:rPr>
            </w:pPr>
            <w:r>
              <w:rPr>
                <w:rFonts w:eastAsia="DengXian"/>
                <w:szCs w:val="21"/>
                <w:highlight w:val="green"/>
              </w:rPr>
              <w:t>Agreement</w:t>
            </w:r>
          </w:p>
          <w:p w:rsidR="00BA4952" w:rsidRDefault="00C56E6B">
            <w:pPr>
              <w:spacing w:beforeLines="0" w:before="0" w:afterLines="0" w:after="0"/>
              <w:rPr>
                <w:szCs w:val="21"/>
              </w:rPr>
            </w:pPr>
            <w:r>
              <w:rPr>
                <w:szCs w:val="21"/>
              </w:rPr>
              <w:t>Select either package 1 or package 2</w:t>
            </w:r>
          </w:p>
          <w:p w:rsidR="00BA4952" w:rsidRDefault="00C56E6B">
            <w:pPr>
              <w:spacing w:beforeLines="0" w:before="0" w:afterLines="0" w:after="0"/>
              <w:rPr>
                <w:szCs w:val="21"/>
              </w:rPr>
            </w:pPr>
            <w:r>
              <w:rPr>
                <w:szCs w:val="21"/>
              </w:rPr>
              <w:t>Package 1</w:t>
            </w:r>
          </w:p>
          <w:p w:rsidR="00BA4952" w:rsidRDefault="00C56E6B">
            <w:pPr>
              <w:spacing w:beforeLines="0" w:before="0" w:afterLines="0" w:after="0" w:line="260" w:lineRule="auto"/>
              <w:ind w:leftChars="200" w:left="840" w:hangingChars="200" w:hanging="420"/>
              <w:rPr>
                <w:szCs w:val="21"/>
              </w:rPr>
            </w:pPr>
            <w:r>
              <w:rPr>
                <w:rFonts w:hint="eastAsia"/>
                <w:szCs w:val="21"/>
              </w:rPr>
              <w:t>·</w:t>
            </w:r>
            <w:r>
              <w:rPr>
                <w:szCs w:val="21"/>
              </w:rPr>
              <w:t>UE behavior after receiving PDCCH indication of monitoring adaptation can be one of the followings,</w:t>
            </w:r>
          </w:p>
          <w:p w:rsidR="00BA4952" w:rsidRDefault="00C56E6B">
            <w:pPr>
              <w:numPr>
                <w:ilvl w:val="0"/>
                <w:numId w:val="9"/>
              </w:numPr>
              <w:spacing w:beforeLines="0" w:before="0" w:afterLines="0" w:after="0" w:line="260" w:lineRule="auto"/>
              <w:ind w:leftChars="400" w:left="1260"/>
              <w:rPr>
                <w:szCs w:val="21"/>
              </w:rPr>
            </w:pPr>
            <w:r>
              <w:rPr>
                <w:szCs w:val="21"/>
              </w:rPr>
              <w:t>Working Assumption: Beh 1: PDCCH skipping is not activated</w:t>
            </w:r>
          </w:p>
          <w:p w:rsidR="00BA4952" w:rsidRDefault="00C56E6B">
            <w:pPr>
              <w:numPr>
                <w:ilvl w:val="0"/>
                <w:numId w:val="9"/>
              </w:numPr>
              <w:spacing w:beforeLines="0" w:before="0" w:afterLines="0" w:after="0" w:line="260" w:lineRule="auto"/>
              <w:ind w:leftChars="400" w:left="1260"/>
              <w:rPr>
                <w:szCs w:val="21"/>
              </w:rPr>
            </w:pPr>
            <w:r>
              <w:rPr>
                <w:szCs w:val="21"/>
              </w:rPr>
              <w:t>Beh 1A: PDCCH skipping means stopping PDCCH monitoring for a duration </w:t>
            </w:r>
            <w:r>
              <w:rPr>
                <w:color w:val="FF0000"/>
                <w:szCs w:val="21"/>
              </w:rPr>
              <w:t>X</w:t>
            </w:r>
          </w:p>
          <w:p w:rsidR="00BA4952" w:rsidRDefault="00C56E6B">
            <w:pPr>
              <w:widowControl/>
              <w:numPr>
                <w:ilvl w:val="0"/>
                <w:numId w:val="10"/>
              </w:numPr>
              <w:spacing w:beforeLines="0" w:before="0" w:afterLines="0" w:after="0" w:line="260" w:lineRule="auto"/>
              <w:ind w:leftChars="600" w:left="1680"/>
              <w:rPr>
                <w:szCs w:val="21"/>
              </w:rPr>
            </w:pPr>
            <w:r>
              <w:rPr>
                <w:rFonts w:eastAsia="Microsoft YaHei UI"/>
                <w:color w:val="000000"/>
                <w:szCs w:val="21"/>
              </w:rPr>
              <w:t>FFS the possible values for </w:t>
            </w:r>
            <w:r>
              <w:rPr>
                <w:rFonts w:eastAsia="Microsoft YaHei UI"/>
                <w:color w:val="FF0000"/>
                <w:szCs w:val="21"/>
              </w:rPr>
              <w:t>X</w:t>
            </w:r>
          </w:p>
          <w:p w:rsidR="00BA4952" w:rsidRDefault="00C56E6B">
            <w:pPr>
              <w:widowControl/>
              <w:numPr>
                <w:ilvl w:val="0"/>
                <w:numId w:val="10"/>
              </w:numPr>
              <w:spacing w:beforeLines="0" w:before="0" w:afterLines="0" w:after="0" w:line="260" w:lineRule="auto"/>
              <w:ind w:leftChars="600" w:left="1680"/>
              <w:rPr>
                <w:szCs w:val="21"/>
              </w:rPr>
            </w:pPr>
            <w:r>
              <w:rPr>
                <w:szCs w:val="21"/>
              </w:rPr>
              <w:t>FFS: Whether and how to support more than one skipping duration(s)</w:t>
            </w:r>
          </w:p>
          <w:p w:rsidR="00BA4952" w:rsidRDefault="00C56E6B">
            <w:pPr>
              <w:widowControl/>
              <w:numPr>
                <w:ilvl w:val="0"/>
                <w:numId w:val="10"/>
              </w:numPr>
              <w:spacing w:beforeLines="0" w:before="0" w:afterLines="0" w:after="0" w:line="260" w:lineRule="auto"/>
              <w:ind w:leftChars="600" w:left="1680"/>
              <w:rPr>
                <w:szCs w:val="21"/>
              </w:rPr>
            </w:pPr>
            <w:r>
              <w:rPr>
                <w:szCs w:val="21"/>
              </w:rPr>
              <w:t>FFS: whether to continue monitoring PDCCH scrambled by C-RNTI for Type 0/1/1A/2 CSS or not</w:t>
            </w:r>
          </w:p>
          <w:p w:rsidR="00BA4952" w:rsidRDefault="00C56E6B">
            <w:pPr>
              <w:numPr>
                <w:ilvl w:val="0"/>
                <w:numId w:val="9"/>
              </w:numPr>
              <w:spacing w:beforeLines="0" w:before="0" w:afterLines="0" w:after="0" w:line="260" w:lineRule="auto"/>
              <w:ind w:leftChars="400" w:left="1260"/>
              <w:rPr>
                <w:szCs w:val="21"/>
              </w:rPr>
            </w:pPr>
            <w:r>
              <w:rPr>
                <w:szCs w:val="21"/>
              </w:rPr>
              <w:t>Beh 2: stop monitoring SS sets associated with SSSG#1 and SSSG#2 (if confirmed) and monitoring  of SS sets associated to SSSG#0 (legacy behaviour)</w:t>
            </w:r>
          </w:p>
          <w:p w:rsidR="00BA4952" w:rsidRDefault="00C56E6B">
            <w:pPr>
              <w:numPr>
                <w:ilvl w:val="0"/>
                <w:numId w:val="9"/>
              </w:numPr>
              <w:spacing w:beforeLines="0" w:before="0" w:afterLines="0" w:after="0" w:line="260" w:lineRule="auto"/>
              <w:ind w:leftChars="400" w:left="1260"/>
              <w:rPr>
                <w:szCs w:val="21"/>
              </w:rPr>
            </w:pPr>
            <w:r>
              <w:rPr>
                <w:szCs w:val="21"/>
              </w:rPr>
              <w:t>Beh 2A: stop monitoring SS sets associated with SSSG#0 and SSSG#2 (if confirmed)  and monitoring  of SS sets associated to SSSG#1 (legacy behaviour)</w:t>
            </w:r>
          </w:p>
          <w:p w:rsidR="00BA4952" w:rsidRDefault="00C56E6B">
            <w:pPr>
              <w:numPr>
                <w:ilvl w:val="0"/>
                <w:numId w:val="9"/>
              </w:numPr>
              <w:spacing w:beforeLines="0" w:before="0" w:afterLines="0" w:after="0" w:line="260" w:lineRule="auto"/>
              <w:ind w:leftChars="400" w:left="1260"/>
              <w:rPr>
                <w:szCs w:val="21"/>
              </w:rPr>
            </w:pPr>
            <w:r>
              <w:rPr>
                <w:szCs w:val="21"/>
              </w:rPr>
              <w:t>Working Assumption: Beh 2B(if confirmed): stop monitoring SS sets associated with SSSG#0 and SSSG#1 and monitoring  of SS sets associated to SSSG#2 (if confirmed)</w:t>
            </w:r>
          </w:p>
          <w:p w:rsidR="00BA4952" w:rsidRDefault="00C56E6B">
            <w:pPr>
              <w:spacing w:beforeLines="0" w:before="0" w:afterLines="0" w:after="0" w:line="260" w:lineRule="auto"/>
              <w:ind w:leftChars="200" w:left="840" w:hangingChars="200" w:hanging="420"/>
              <w:rPr>
                <w:szCs w:val="21"/>
              </w:rPr>
            </w:pPr>
            <w:r>
              <w:rPr>
                <w:rFonts w:hint="eastAsia"/>
                <w:szCs w:val="21"/>
              </w:rPr>
              <w:t>·</w:t>
            </w:r>
            <w:r>
              <w:rPr>
                <w:szCs w:val="21"/>
              </w:rPr>
              <w:t>Note: The number of supported SSSG is left to UE feature discussion.</w:t>
            </w:r>
          </w:p>
          <w:p w:rsidR="00BA4952" w:rsidRDefault="00C56E6B">
            <w:pPr>
              <w:spacing w:beforeLines="0" w:before="0" w:afterLines="0" w:after="0" w:line="260" w:lineRule="auto"/>
              <w:ind w:leftChars="200" w:left="840" w:hangingChars="200" w:hanging="420"/>
              <w:rPr>
                <w:szCs w:val="21"/>
              </w:rPr>
            </w:pPr>
            <w:r>
              <w:rPr>
                <w:rFonts w:hint="eastAsia"/>
                <w:szCs w:val="21"/>
              </w:rPr>
              <w:t>·</w:t>
            </w:r>
            <w:r>
              <w:rPr>
                <w:szCs w:val="21"/>
              </w:rPr>
              <w:t>FFS: UE capability of supported UE behaviors</w:t>
            </w:r>
          </w:p>
          <w:p w:rsidR="00BA4952" w:rsidRDefault="00C56E6B">
            <w:pPr>
              <w:spacing w:beforeLines="0" w:before="0" w:afterLines="0" w:after="0" w:line="260" w:lineRule="auto"/>
              <w:ind w:leftChars="200" w:left="840" w:hangingChars="200" w:hanging="420"/>
              <w:rPr>
                <w:color w:val="FF0000"/>
                <w:szCs w:val="21"/>
              </w:rPr>
            </w:pPr>
            <w:r>
              <w:rPr>
                <w:rFonts w:hint="eastAsia"/>
                <w:szCs w:val="21"/>
              </w:rPr>
              <w:t>·</w:t>
            </w:r>
            <w:r>
              <w:rPr>
                <w:color w:val="FF0000"/>
                <w:szCs w:val="21"/>
              </w:rPr>
              <w:t xml:space="preserve">Indication of </w:t>
            </w:r>
            <w:r>
              <w:rPr>
                <w:rFonts w:eastAsia="Microsoft YaHei UI"/>
                <w:color w:val="FF0000"/>
                <w:szCs w:val="21"/>
              </w:rPr>
              <w:t>Beh 1A</w:t>
            </w:r>
            <w:r>
              <w:rPr>
                <w:color w:val="FF0000"/>
                <w:szCs w:val="21"/>
              </w:rPr>
              <w:t xml:space="preserve"> when SSSG(s) are not configured is supported.</w:t>
            </w:r>
          </w:p>
          <w:p w:rsidR="00BA4952" w:rsidRDefault="00C56E6B">
            <w:pPr>
              <w:spacing w:beforeLines="0" w:before="0" w:afterLines="0" w:after="0" w:line="260" w:lineRule="auto"/>
              <w:ind w:leftChars="200" w:left="840" w:hangingChars="200" w:hanging="420"/>
              <w:rPr>
                <w:color w:val="FF0000"/>
                <w:szCs w:val="21"/>
              </w:rPr>
            </w:pPr>
            <w:r>
              <w:rPr>
                <w:rFonts w:hint="eastAsia"/>
                <w:color w:val="FF0000"/>
                <w:szCs w:val="21"/>
              </w:rPr>
              <w:t>·</w:t>
            </w:r>
            <w:r>
              <w:rPr>
                <w:color w:val="FF0000"/>
                <w:szCs w:val="21"/>
              </w:rPr>
              <w:t>Working assumption: Indication of</w:t>
            </w:r>
            <w:r>
              <w:rPr>
                <w:rFonts w:eastAsia="Microsoft YaHei UI"/>
                <w:color w:val="FF0000"/>
                <w:szCs w:val="21"/>
              </w:rPr>
              <w:t xml:space="preserve"> Beh 1A</w:t>
            </w:r>
            <w:r>
              <w:rPr>
                <w:color w:val="FF0000"/>
                <w:szCs w:val="21"/>
              </w:rPr>
              <w:t xml:space="preserve"> for current SSSG when two SSSG(s) are configured is supported</w:t>
            </w:r>
          </w:p>
          <w:p w:rsidR="00BA4952" w:rsidRDefault="00C56E6B">
            <w:pPr>
              <w:spacing w:beforeLines="0" w:before="0" w:afterLines="0" w:after="0" w:line="260" w:lineRule="auto"/>
              <w:ind w:leftChars="200" w:left="840" w:hangingChars="200" w:hanging="420"/>
              <w:rPr>
                <w:color w:val="FF0000"/>
                <w:szCs w:val="21"/>
              </w:rPr>
            </w:pPr>
            <w:r>
              <w:rPr>
                <w:rFonts w:hint="eastAsia"/>
                <w:color w:val="FF0000"/>
                <w:szCs w:val="21"/>
              </w:rPr>
              <w:t>·</w:t>
            </w:r>
            <w:r>
              <w:rPr>
                <w:color w:val="FF0000"/>
                <w:szCs w:val="21"/>
              </w:rPr>
              <w:t xml:space="preserve">FFS: Indication of </w:t>
            </w:r>
            <w:r>
              <w:rPr>
                <w:rFonts w:eastAsia="Microsoft YaHei UI"/>
                <w:color w:val="FF0000"/>
                <w:szCs w:val="21"/>
              </w:rPr>
              <w:t>Beh 1A</w:t>
            </w:r>
            <w:r>
              <w:rPr>
                <w:color w:val="FF0000"/>
                <w:szCs w:val="21"/>
              </w:rPr>
              <w:t xml:space="preserve"> when three SSSG(s) (if supported) are configured</w:t>
            </w:r>
          </w:p>
          <w:p w:rsidR="00BA4952" w:rsidRDefault="00C56E6B">
            <w:pPr>
              <w:spacing w:beforeLines="0" w:before="0" w:afterLines="0" w:after="0" w:line="260" w:lineRule="auto"/>
              <w:ind w:leftChars="200" w:left="840" w:hangingChars="200" w:hanging="420"/>
              <w:rPr>
                <w:color w:val="000000"/>
                <w:szCs w:val="21"/>
              </w:rPr>
            </w:pPr>
            <w:r>
              <w:rPr>
                <w:rFonts w:hint="eastAsia"/>
                <w:szCs w:val="21"/>
              </w:rPr>
              <w:t>·</w:t>
            </w:r>
            <w:r>
              <w:rPr>
                <w:color w:val="000000"/>
                <w:szCs w:val="21"/>
              </w:rPr>
              <w:t>Y bits is configured for scheduling DCIs (i.e., DCI format 1-1/0-1/1-2/0-2) indicating PDCCH schedules data and also PDCCH monitoring adaptation</w:t>
            </w:r>
          </w:p>
          <w:p w:rsidR="00BA4952" w:rsidRDefault="00C56E6B">
            <w:pPr>
              <w:numPr>
                <w:ilvl w:val="0"/>
                <w:numId w:val="9"/>
              </w:numPr>
              <w:spacing w:beforeLines="0" w:before="0" w:afterLines="0" w:after="0" w:line="260" w:lineRule="auto"/>
              <w:ind w:leftChars="400" w:left="1260"/>
              <w:rPr>
                <w:color w:val="000000"/>
                <w:szCs w:val="21"/>
              </w:rPr>
            </w:pPr>
            <w:r>
              <w:rPr>
                <w:color w:val="000000"/>
                <w:szCs w:val="21"/>
              </w:rPr>
              <w:t>FFS how the UE behavior(s) defined above mapping to Y bits</w:t>
            </w:r>
          </w:p>
          <w:p w:rsidR="00BA4952" w:rsidRDefault="00C56E6B">
            <w:pPr>
              <w:spacing w:beforeLines="0" w:before="0" w:afterLines="0" w:after="0" w:line="260" w:lineRule="auto"/>
              <w:ind w:firstLineChars="600" w:firstLine="1260"/>
              <w:rPr>
                <w:color w:val="000000"/>
                <w:szCs w:val="21"/>
              </w:rPr>
            </w:pPr>
            <w:r>
              <w:rPr>
                <w:color w:val="000000"/>
                <w:szCs w:val="21"/>
              </w:rPr>
              <w:t>§  Note: at most Y = 2</w:t>
            </w:r>
          </w:p>
          <w:p w:rsidR="00BA4952" w:rsidRDefault="00C56E6B">
            <w:pPr>
              <w:spacing w:beforeLines="0" w:before="0" w:afterLines="0" w:after="0" w:line="260" w:lineRule="auto"/>
              <w:ind w:leftChars="200" w:left="840" w:hangingChars="200" w:hanging="420"/>
              <w:rPr>
                <w:color w:val="000000"/>
                <w:szCs w:val="21"/>
              </w:rPr>
            </w:pPr>
            <w:r>
              <w:rPr>
                <w:rFonts w:hint="eastAsia"/>
                <w:szCs w:val="21"/>
              </w:rPr>
              <w:lastRenderedPageBreak/>
              <w:t>·</w:t>
            </w:r>
            <w:r>
              <w:rPr>
                <w:rFonts w:hint="eastAsia"/>
                <w:szCs w:val="21"/>
              </w:rPr>
              <w:t>  </w:t>
            </w:r>
            <w:r>
              <w:rPr>
                <w:color w:val="000000"/>
                <w:szCs w:val="21"/>
              </w:rPr>
              <w:t>Working Assumption at most 3</w:t>
            </w:r>
            <w:r>
              <w:rPr>
                <w:color w:val="FF0000"/>
                <w:szCs w:val="21"/>
              </w:rPr>
              <w:t> </w:t>
            </w:r>
            <w:r>
              <w:rPr>
                <w:color w:val="000000"/>
                <w:szCs w:val="21"/>
              </w:rPr>
              <w:t>SSSGs is supported to be configured.</w:t>
            </w:r>
          </w:p>
          <w:p w:rsidR="00BA4952" w:rsidRDefault="00C56E6B">
            <w:pPr>
              <w:numPr>
                <w:ilvl w:val="0"/>
                <w:numId w:val="9"/>
              </w:numPr>
              <w:spacing w:beforeLines="0" w:before="0" w:afterLines="0" w:after="0" w:line="260" w:lineRule="auto"/>
              <w:ind w:leftChars="400" w:left="1260"/>
              <w:rPr>
                <w:color w:val="000000"/>
                <w:szCs w:val="21"/>
              </w:rPr>
            </w:pPr>
            <w:r>
              <w:rPr>
                <w:color w:val="000000"/>
                <w:szCs w:val="21"/>
              </w:rPr>
              <w:t>FFS: whether or how SSSG can be configured to be monitored conditionally (e.g., depending on HARQ NACK or RTT/ReTx timers)</w:t>
            </w:r>
          </w:p>
          <w:p w:rsidR="00BA4952" w:rsidRDefault="00C56E6B">
            <w:pPr>
              <w:numPr>
                <w:ilvl w:val="0"/>
                <w:numId w:val="9"/>
              </w:numPr>
              <w:spacing w:beforeLines="0" w:before="0" w:afterLines="0" w:after="0" w:line="260" w:lineRule="auto"/>
              <w:ind w:leftChars="400" w:left="1260"/>
              <w:rPr>
                <w:color w:val="000000"/>
                <w:szCs w:val="21"/>
              </w:rPr>
            </w:pPr>
            <w:r>
              <w:rPr>
                <w:color w:val="000000"/>
                <w:szCs w:val="21"/>
              </w:rPr>
              <w:t>FFS: whether or how non-default SSSG to another non-default SSSG</w:t>
            </w:r>
          </w:p>
          <w:p w:rsidR="00BA4952" w:rsidRDefault="00C56E6B">
            <w:pPr>
              <w:spacing w:beforeLines="0" w:before="0" w:afterLines="0" w:after="0" w:line="260" w:lineRule="auto"/>
              <w:ind w:leftChars="200" w:left="840" w:hangingChars="200" w:hanging="420"/>
              <w:rPr>
                <w:color w:val="000000"/>
                <w:szCs w:val="21"/>
              </w:rPr>
            </w:pPr>
            <w:r>
              <w:rPr>
                <w:rFonts w:hint="eastAsia"/>
                <w:szCs w:val="21"/>
              </w:rPr>
              <w:t>·</w:t>
            </w:r>
            <w:r>
              <w:rPr>
                <w:color w:val="000000"/>
                <w:szCs w:val="21"/>
              </w:rPr>
              <w:t>FFS details of timer(s) for switching between SSSG(s)</w:t>
            </w:r>
          </w:p>
          <w:p w:rsidR="00BA4952" w:rsidRDefault="00C56E6B">
            <w:pPr>
              <w:numPr>
                <w:ilvl w:val="0"/>
                <w:numId w:val="9"/>
              </w:numPr>
              <w:spacing w:beforeLines="0" w:before="0" w:afterLines="0" w:after="0" w:line="260" w:lineRule="auto"/>
              <w:ind w:leftChars="400" w:left="1260"/>
              <w:rPr>
                <w:color w:val="000000"/>
                <w:szCs w:val="21"/>
              </w:rPr>
            </w:pPr>
            <w:r>
              <w:rPr>
                <w:color w:val="000000"/>
                <w:szCs w:val="21"/>
              </w:rPr>
              <w:t>UE fallbacks to default SSSG (i.e., SSSG#0) after timer expiration.</w:t>
            </w:r>
          </w:p>
          <w:p w:rsidR="00BA4952" w:rsidRDefault="00C56E6B">
            <w:pPr>
              <w:numPr>
                <w:ilvl w:val="0"/>
                <w:numId w:val="9"/>
              </w:numPr>
              <w:spacing w:beforeLines="0" w:before="0" w:afterLines="0" w:after="0" w:line="260" w:lineRule="auto"/>
              <w:ind w:leftChars="400" w:left="1260"/>
              <w:rPr>
                <w:color w:val="000000"/>
                <w:szCs w:val="21"/>
              </w:rPr>
            </w:pPr>
            <w:r>
              <w:rPr>
                <w:color w:val="000000"/>
                <w:szCs w:val="21"/>
              </w:rPr>
              <w:t>R16 timer for SSSG switching and the corresponding behavior is as baseline</w:t>
            </w:r>
          </w:p>
          <w:p w:rsidR="00BA4952" w:rsidRDefault="00C56E6B">
            <w:pPr>
              <w:spacing w:beforeLines="0" w:before="0" w:afterLines="0" w:after="0" w:line="260" w:lineRule="auto"/>
              <w:ind w:leftChars="200" w:left="840" w:hangingChars="200" w:hanging="420"/>
              <w:rPr>
                <w:szCs w:val="21"/>
              </w:rPr>
            </w:pPr>
            <w:r>
              <w:rPr>
                <w:rFonts w:hint="eastAsia"/>
                <w:szCs w:val="21"/>
              </w:rPr>
              <w:t>·</w:t>
            </w:r>
            <w:r>
              <w:rPr>
                <w:color w:val="000000"/>
                <w:szCs w:val="21"/>
              </w:rPr>
              <w:t>FFS whether the timer(s) is configured per SSSG, </w:t>
            </w:r>
            <w:r>
              <w:rPr>
                <w:strike/>
                <w:color w:val="FF0000"/>
                <w:szCs w:val="21"/>
              </w:rPr>
              <w:t>or </w:t>
            </w:r>
            <w:r>
              <w:rPr>
                <w:color w:val="000000"/>
                <w:szCs w:val="21"/>
              </w:rPr>
              <w:t>per BWP or other approach</w:t>
            </w:r>
            <w:r>
              <w:rPr>
                <w:color w:val="FF0000"/>
                <w:szCs w:val="21"/>
              </w:rPr>
              <w:t>es</w:t>
            </w:r>
            <w:r>
              <w:rPr>
                <w:szCs w:val="21"/>
              </w:rPr>
              <w:t>.</w:t>
            </w:r>
          </w:p>
          <w:p w:rsidR="00BA4952" w:rsidRDefault="00C56E6B">
            <w:pPr>
              <w:spacing w:beforeLines="0" w:before="0" w:afterLines="0" w:after="0" w:line="260" w:lineRule="auto"/>
              <w:ind w:leftChars="200" w:left="840" w:hangingChars="200" w:hanging="420"/>
              <w:rPr>
                <w:szCs w:val="21"/>
              </w:rPr>
            </w:pPr>
            <w:r>
              <w:rPr>
                <w:rFonts w:hint="eastAsia"/>
                <w:szCs w:val="21"/>
              </w:rPr>
              <w:t>·</w:t>
            </w:r>
            <w:r>
              <w:rPr>
                <w:color w:val="000000"/>
                <w:szCs w:val="21"/>
              </w:rPr>
              <w:t>FFS whether the skipping duration</w:t>
            </w:r>
            <w:r>
              <w:rPr>
                <w:color w:val="FF0000"/>
                <w:szCs w:val="21"/>
              </w:rPr>
              <w:t>(s)</w:t>
            </w:r>
            <w:r>
              <w:rPr>
                <w:color w:val="000000"/>
                <w:szCs w:val="21"/>
              </w:rPr>
              <w:t> is configured per SSSG, per BWP, or other approaches.</w:t>
            </w:r>
          </w:p>
          <w:p w:rsidR="00BA4952" w:rsidRDefault="00C56E6B">
            <w:pPr>
              <w:spacing w:beforeLines="0" w:before="0" w:afterLines="0" w:after="0" w:line="260" w:lineRule="auto"/>
              <w:ind w:leftChars="200" w:left="840" w:hangingChars="200" w:hanging="420"/>
              <w:rPr>
                <w:szCs w:val="21"/>
              </w:rPr>
            </w:pPr>
            <w:r>
              <w:rPr>
                <w:rFonts w:hint="eastAsia"/>
                <w:szCs w:val="21"/>
              </w:rPr>
              <w:t>·</w:t>
            </w:r>
            <w:r>
              <w:rPr>
                <w:color w:val="000000"/>
                <w:szCs w:val="21"/>
              </w:rPr>
              <w:t>FFS PDCCH monitoring adaptation indicated by non-scheduling DCI</w:t>
            </w:r>
          </w:p>
          <w:p w:rsidR="00BA4952" w:rsidRDefault="00C56E6B">
            <w:pPr>
              <w:spacing w:beforeLines="0" w:before="0" w:afterLines="0" w:after="0" w:line="260" w:lineRule="auto"/>
              <w:ind w:leftChars="200" w:left="840" w:hangingChars="200" w:hanging="420"/>
              <w:rPr>
                <w:szCs w:val="21"/>
              </w:rPr>
            </w:pPr>
            <w:r>
              <w:rPr>
                <w:rFonts w:hint="eastAsia"/>
                <w:szCs w:val="21"/>
              </w:rPr>
              <w:t>·</w:t>
            </w:r>
            <w:r>
              <w:rPr>
                <w:color w:val="000000"/>
                <w:szCs w:val="21"/>
              </w:rPr>
              <w:t>PDCCH based monitoring adaptation is </w:t>
            </w:r>
            <w:r>
              <w:rPr>
                <w:strike/>
                <w:color w:val="FF0000"/>
                <w:szCs w:val="21"/>
              </w:rPr>
              <w:t>limited</w:t>
            </w:r>
            <w:r>
              <w:rPr>
                <w:color w:val="FF0000"/>
                <w:szCs w:val="21"/>
              </w:rPr>
              <w:t>applied</w:t>
            </w:r>
            <w:r>
              <w:rPr>
                <w:color w:val="000000"/>
                <w:szCs w:val="21"/>
              </w:rPr>
              <w:t> to USS and type-3 CSS.</w:t>
            </w:r>
          </w:p>
          <w:p w:rsidR="00BA4952" w:rsidRDefault="00BA4952">
            <w:pPr>
              <w:spacing w:beforeLines="0" w:before="0" w:afterLines="0" w:after="0"/>
              <w:rPr>
                <w:rFonts w:eastAsia="Microsoft YaHei UI"/>
                <w:color w:val="000000"/>
                <w:szCs w:val="21"/>
              </w:rPr>
            </w:pPr>
          </w:p>
          <w:p w:rsidR="00BA4952" w:rsidRDefault="00C56E6B">
            <w:pPr>
              <w:spacing w:beforeLines="0" w:before="0" w:afterLines="0" w:after="0"/>
              <w:rPr>
                <w:rFonts w:eastAsia="Microsoft YaHei UI"/>
                <w:color w:val="000000"/>
                <w:szCs w:val="21"/>
              </w:rPr>
            </w:pPr>
            <w:r>
              <w:rPr>
                <w:rFonts w:eastAsia="Microsoft YaHei UI"/>
                <w:color w:val="000000"/>
                <w:szCs w:val="21"/>
              </w:rPr>
              <w:t>Package 2 (Alt 1 and Alt 2)</w:t>
            </w:r>
          </w:p>
          <w:p w:rsidR="00BA4952" w:rsidRDefault="00C56E6B">
            <w:pPr>
              <w:spacing w:beforeLines="0" w:before="0" w:afterLines="0" w:after="0"/>
              <w:rPr>
                <w:szCs w:val="21"/>
                <w:highlight w:val="cyan"/>
              </w:rPr>
            </w:pPr>
            <w:r>
              <w:rPr>
                <w:rFonts w:eastAsia="Microsoft YaHei UI"/>
                <w:color w:val="000000"/>
                <w:szCs w:val="21"/>
              </w:rPr>
              <w:t>......</w:t>
            </w:r>
          </w:p>
          <w:p w:rsidR="00BA4952" w:rsidRDefault="00C56E6B">
            <w:pPr>
              <w:spacing w:beforeLines="0" w:before="0" w:afterLines="0" w:after="0"/>
              <w:rPr>
                <w:rFonts w:eastAsia="DengXian"/>
                <w:szCs w:val="21"/>
                <w:highlight w:val="green"/>
              </w:rPr>
            </w:pPr>
            <w:r>
              <w:rPr>
                <w:rFonts w:eastAsia="DengXian"/>
                <w:szCs w:val="21"/>
                <w:highlight w:val="green"/>
              </w:rPr>
              <w:t xml:space="preserve">Agreement </w:t>
            </w:r>
          </w:p>
          <w:p w:rsidR="00BA4952" w:rsidRDefault="00C56E6B">
            <w:pPr>
              <w:spacing w:beforeLines="0" w:before="0" w:afterLines="0" w:after="0"/>
              <w:rPr>
                <w:szCs w:val="21"/>
              </w:rPr>
            </w:pPr>
            <w:r>
              <w:rPr>
                <w:szCs w:val="21"/>
              </w:rPr>
              <w:t>Package 1 in above agreement is selected.</w:t>
            </w:r>
          </w:p>
        </w:tc>
      </w:tr>
    </w:tbl>
    <w:p w:rsidR="00BA4952" w:rsidRDefault="00C56E6B">
      <w:pPr>
        <w:spacing w:before="120" w:after="120"/>
        <w:rPr>
          <w:sz w:val="20"/>
        </w:rPr>
      </w:pPr>
      <w:r>
        <w:rPr>
          <w:rFonts w:hint="eastAsia"/>
        </w:rPr>
        <w:lastRenderedPageBreak/>
        <w:t>In this contribution, the details design about PDCCH monitoring adaptation including the triggering methods, the application delay and whether</w:t>
      </w:r>
      <w:r>
        <w:t>/</w:t>
      </w:r>
      <w:r>
        <w:rPr>
          <w:rFonts w:hint="eastAsia"/>
        </w:rPr>
        <w:t xml:space="preserve"> how to minimize the impact on data scheduling for new transmissions and re-transmissions are further discussed.</w:t>
      </w:r>
    </w:p>
    <w:p w:rsidR="00BA4952" w:rsidRDefault="00BA4952">
      <w:pPr>
        <w:spacing w:before="120" w:after="120"/>
        <w:rPr>
          <w:sz w:val="20"/>
        </w:rPr>
      </w:pPr>
    </w:p>
    <w:p w:rsidR="00BA4952" w:rsidRDefault="00C56E6B">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General design of PDCCH monitoring adaptation</w:t>
      </w:r>
    </w:p>
    <w:p w:rsidR="00BA4952" w:rsidRDefault="00C56E6B">
      <w:pPr>
        <w:spacing w:before="120" w:after="120"/>
      </w:pPr>
      <w:r>
        <w:rPr>
          <w:rFonts w:hint="eastAsia"/>
        </w:rPr>
        <w:t xml:space="preserve">According to the agreements in 3GPP TSG RAN1 #106-e meeting, </w:t>
      </w:r>
      <w:r>
        <w:t>the common design of</w:t>
      </w:r>
      <w:r>
        <w:rPr>
          <w:rFonts w:hint="eastAsia"/>
        </w:rPr>
        <w:t xml:space="preserve"> PDCCH skipping and SSSG switching </w:t>
      </w:r>
      <w:r>
        <w:t>is</w:t>
      </w:r>
      <w:r>
        <w:rPr>
          <w:rFonts w:hint="eastAsia"/>
        </w:rPr>
        <w:t xml:space="preserve"> supported. </w:t>
      </w:r>
      <w:r>
        <w:t xml:space="preserve">And </w:t>
      </w:r>
      <w:r>
        <w:rPr>
          <w:rFonts w:hint="eastAsia"/>
        </w:rPr>
        <w:t>many detail</w:t>
      </w:r>
      <w:r>
        <w:t>s of the common design still</w:t>
      </w:r>
      <w:r>
        <w:rPr>
          <w:rFonts w:hint="eastAsia"/>
        </w:rPr>
        <w:t xml:space="preserve"> need further discuss</w:t>
      </w:r>
      <w:r>
        <w:t>ion</w:t>
      </w:r>
      <w:r>
        <w:rPr>
          <w:rFonts w:hint="eastAsia"/>
        </w:rPr>
        <w:t xml:space="preserve">. In this </w:t>
      </w:r>
      <w:r>
        <w:t>section</w:t>
      </w:r>
      <w:r>
        <w:rPr>
          <w:rFonts w:hint="eastAsia"/>
        </w:rPr>
        <w:t xml:space="preserve">, </w:t>
      </w:r>
      <w:r>
        <w:t>the</w:t>
      </w:r>
      <w:r>
        <w:rPr>
          <w:rFonts w:hint="eastAsia"/>
        </w:rPr>
        <w:t xml:space="preserve"> general design </w:t>
      </w:r>
      <w:r>
        <w:t>is</w:t>
      </w:r>
      <w:r>
        <w:rPr>
          <w:rFonts w:hint="eastAsia"/>
        </w:rPr>
        <w:t xml:space="preserve"> discussed. </w:t>
      </w:r>
    </w:p>
    <w:p w:rsidR="00BA4952" w:rsidRDefault="00BA4952">
      <w:pPr>
        <w:spacing w:before="120" w:after="120"/>
      </w:pPr>
    </w:p>
    <w:p w:rsidR="00BA4952" w:rsidRDefault="00C56E6B">
      <w:pPr>
        <w:pStyle w:val="2"/>
        <w:spacing w:before="120" w:after="120" w:line="260" w:lineRule="auto"/>
        <w:ind w:left="0" w:right="210"/>
        <w:rPr>
          <w:rFonts w:ascii="Times New Roman" w:hAnsi="Times New Roman"/>
          <w:b/>
          <w:bCs/>
          <w:sz w:val="22"/>
          <w:szCs w:val="22"/>
        </w:rPr>
      </w:pPr>
      <w:r>
        <w:rPr>
          <w:rFonts w:ascii="Times New Roman" w:eastAsia="宋体" w:hAnsi="Times New Roman" w:hint="eastAsia"/>
          <w:b/>
          <w:bCs/>
          <w:sz w:val="22"/>
          <w:szCs w:val="22"/>
        </w:rPr>
        <w:t>UE behavior after receiving PDCCH indication of monitoring adaptation</w:t>
      </w:r>
    </w:p>
    <w:p w:rsidR="00BA4952" w:rsidRDefault="00C56E6B">
      <w:pPr>
        <w:numPr>
          <w:ilvl w:val="255"/>
          <w:numId w:val="0"/>
        </w:numPr>
        <w:spacing w:before="120" w:after="120" w:line="260" w:lineRule="auto"/>
        <w:rPr>
          <w:szCs w:val="21"/>
        </w:rPr>
      </w:pPr>
      <w:r>
        <w:rPr>
          <w:rFonts w:hint="eastAsia"/>
          <w:szCs w:val="21"/>
        </w:rPr>
        <w:t xml:space="preserve">There are 5 behaviors </w:t>
      </w:r>
      <w:r>
        <w:rPr>
          <w:szCs w:val="21"/>
        </w:rPr>
        <w:t>agreed</w:t>
      </w:r>
      <w:r>
        <w:rPr>
          <w:rFonts w:hint="eastAsia"/>
          <w:szCs w:val="21"/>
        </w:rPr>
        <w:t xml:space="preserve"> in</w:t>
      </w:r>
      <w:r>
        <w:rPr>
          <w:szCs w:val="21"/>
        </w:rPr>
        <w:t xml:space="preserve"> the</w:t>
      </w:r>
      <w:r>
        <w:rPr>
          <w:rFonts w:hint="eastAsia"/>
          <w:szCs w:val="21"/>
        </w:rPr>
        <w:t xml:space="preserve"> last meeting.</w:t>
      </w:r>
    </w:p>
    <w:p w:rsidR="00BA4952" w:rsidRDefault="00C56E6B">
      <w:pPr>
        <w:numPr>
          <w:ilvl w:val="0"/>
          <w:numId w:val="9"/>
        </w:numPr>
        <w:spacing w:before="120" w:after="120" w:line="260" w:lineRule="auto"/>
        <w:ind w:leftChars="200" w:left="840"/>
        <w:rPr>
          <w:rFonts w:cs="Times"/>
          <w:szCs w:val="21"/>
        </w:rPr>
      </w:pPr>
      <w:r>
        <w:rPr>
          <w:rFonts w:cs="Times"/>
          <w:szCs w:val="21"/>
        </w:rPr>
        <w:t>Working Assumption: Beh 1: PDCCH skipping is not activate</w:t>
      </w:r>
      <w:r>
        <w:rPr>
          <w:rFonts w:cs="Times" w:hint="eastAsia"/>
          <w:szCs w:val="21"/>
        </w:rPr>
        <w:t>d</w:t>
      </w:r>
    </w:p>
    <w:p w:rsidR="00BA4952" w:rsidRDefault="00C56E6B">
      <w:pPr>
        <w:numPr>
          <w:ilvl w:val="0"/>
          <w:numId w:val="9"/>
        </w:numPr>
        <w:spacing w:before="120" w:after="120" w:line="260" w:lineRule="auto"/>
        <w:ind w:leftChars="200" w:left="840"/>
        <w:rPr>
          <w:rFonts w:cs="Times"/>
          <w:szCs w:val="21"/>
        </w:rPr>
      </w:pPr>
      <w:r>
        <w:rPr>
          <w:rFonts w:cs="Times"/>
          <w:szCs w:val="21"/>
        </w:rPr>
        <w:t>Beh 1A: PDCCH skipping means stopping PDCCH monitoring for a duration </w:t>
      </w:r>
      <w:r>
        <w:rPr>
          <w:rFonts w:cs="Times"/>
          <w:color w:val="FF0000"/>
          <w:szCs w:val="21"/>
        </w:rPr>
        <w:t>X</w:t>
      </w:r>
    </w:p>
    <w:p w:rsidR="00BA4952" w:rsidRDefault="00C56E6B">
      <w:pPr>
        <w:numPr>
          <w:ilvl w:val="0"/>
          <w:numId w:val="9"/>
        </w:numPr>
        <w:spacing w:before="120" w:after="120" w:line="260" w:lineRule="auto"/>
        <w:ind w:leftChars="200" w:left="840"/>
        <w:rPr>
          <w:rFonts w:cs="Times"/>
          <w:szCs w:val="21"/>
        </w:rPr>
      </w:pPr>
      <w:r>
        <w:rPr>
          <w:rFonts w:cs="Times"/>
          <w:szCs w:val="21"/>
        </w:rPr>
        <w:t>Beh 2: stop monitoring SS sets associated with SSSG#1 and SSSG#2 (if confirmed) and monitoring of SS sets associated to SSSG#0 (legacy behaviour)</w:t>
      </w:r>
    </w:p>
    <w:p w:rsidR="00BA4952" w:rsidRDefault="00C56E6B">
      <w:pPr>
        <w:numPr>
          <w:ilvl w:val="0"/>
          <w:numId w:val="9"/>
        </w:numPr>
        <w:spacing w:before="120" w:after="120" w:line="260" w:lineRule="auto"/>
        <w:ind w:leftChars="200" w:left="840"/>
        <w:rPr>
          <w:rFonts w:cs="Times"/>
          <w:szCs w:val="21"/>
        </w:rPr>
      </w:pPr>
      <w:r>
        <w:rPr>
          <w:rFonts w:cs="Times"/>
          <w:szCs w:val="21"/>
        </w:rPr>
        <w:t>Beh 2A: stop monitoring SS sets associated with SSSG#0 and SSSG#2 (if confirmed) and monitoring of SS sets associated to SSSG#1 (legacy behaviour)</w:t>
      </w:r>
    </w:p>
    <w:p w:rsidR="00BA4952" w:rsidRDefault="00C56E6B">
      <w:pPr>
        <w:numPr>
          <w:ilvl w:val="0"/>
          <w:numId w:val="9"/>
        </w:numPr>
        <w:spacing w:before="120" w:after="120" w:line="260" w:lineRule="auto"/>
        <w:ind w:leftChars="200" w:left="840"/>
        <w:rPr>
          <w:rFonts w:cs="Times"/>
          <w:szCs w:val="21"/>
        </w:rPr>
      </w:pPr>
      <w:r>
        <w:rPr>
          <w:rFonts w:cs="Times"/>
          <w:szCs w:val="21"/>
        </w:rPr>
        <w:t>Working Assumption: Beh 2B</w:t>
      </w:r>
      <w:r>
        <w:rPr>
          <w:rFonts w:cs="Times" w:hint="eastAsia"/>
          <w:szCs w:val="21"/>
        </w:rPr>
        <w:t xml:space="preserve"> </w:t>
      </w:r>
      <w:r>
        <w:rPr>
          <w:rFonts w:cs="Times"/>
          <w:szCs w:val="21"/>
        </w:rPr>
        <w:t>(if confirmed): stop monitoring SS sets associated with SSSG#0 and SSSG#1 and monitoring of SS sets associated to SSSG#2 (if confirmed)</w:t>
      </w:r>
    </w:p>
    <w:p w:rsidR="00BA4952" w:rsidRDefault="00C56E6B">
      <w:pPr>
        <w:spacing w:before="120" w:after="120"/>
      </w:pPr>
      <w:r>
        <w:rPr>
          <w:rFonts w:hint="eastAsia"/>
          <w:szCs w:val="21"/>
        </w:rPr>
        <w:t xml:space="preserve">These five behaviors </w:t>
      </w:r>
      <w:r>
        <w:rPr>
          <w:szCs w:val="21"/>
        </w:rPr>
        <w:t>comprise</w:t>
      </w:r>
      <w:r>
        <w:rPr>
          <w:rFonts w:hint="eastAsia"/>
          <w:szCs w:val="21"/>
        </w:rPr>
        <w:t xml:space="preserve"> PDCCH skipping and SSSG switching. </w:t>
      </w:r>
      <w:r>
        <w:rPr>
          <w:szCs w:val="21"/>
        </w:rPr>
        <w:t xml:space="preserve">Configuring both features will complicate UE implementation, hence, </w:t>
      </w:r>
      <w:r>
        <w:rPr>
          <w:rFonts w:hint="eastAsia"/>
        </w:rPr>
        <w:t>whether support</w:t>
      </w:r>
      <w:r>
        <w:t>ing</w:t>
      </w:r>
      <w:r>
        <w:rPr>
          <w:rFonts w:hint="eastAsia"/>
        </w:rPr>
        <w:t xml:space="preserve"> PDCCH skipping function </w:t>
      </w:r>
      <w:r>
        <w:t>or</w:t>
      </w:r>
      <w:r>
        <w:rPr>
          <w:rFonts w:hint="eastAsia"/>
        </w:rPr>
        <w:t xml:space="preserve"> SSSG switching function should be determined by UE capability. </w:t>
      </w:r>
    </w:p>
    <w:p w:rsidR="00BA4952" w:rsidRDefault="00C56E6B">
      <w:pPr>
        <w:pStyle w:val="YJ-Proposal"/>
        <w:spacing w:before="120" w:after="120"/>
        <w:jc w:val="both"/>
        <w:rPr>
          <w:i w:val="0"/>
          <w:iCs w:val="0"/>
          <w:lang w:val="en-US" w:eastAsia="zh-CN"/>
        </w:rPr>
      </w:pPr>
      <w:bookmarkStart w:id="2" w:name="_Toc1267"/>
      <w:r>
        <w:rPr>
          <w:rFonts w:hint="eastAsia"/>
          <w:i w:val="0"/>
          <w:iCs w:val="0"/>
          <w:lang w:val="en-US" w:eastAsia="zh-CN"/>
        </w:rPr>
        <w:t>Whether UE supports PDCCH skipping function and/or SSSG switching function should be determined by UE capability.</w:t>
      </w:r>
      <w:bookmarkEnd w:id="2"/>
    </w:p>
    <w:p w:rsidR="00BA4952" w:rsidRDefault="00C56E6B">
      <w:pPr>
        <w:numPr>
          <w:ilvl w:val="255"/>
          <w:numId w:val="0"/>
        </w:numPr>
        <w:spacing w:before="120" w:after="120" w:line="260" w:lineRule="auto"/>
        <w:rPr>
          <w:szCs w:val="21"/>
        </w:rPr>
      </w:pPr>
      <w:r>
        <w:rPr>
          <w:szCs w:val="21"/>
        </w:rPr>
        <w:lastRenderedPageBreak/>
        <w:t xml:space="preserve">To implement PDCCH skipping, if Beh 1 is not supported, UE will have to skip PDCCH monitoring after each scheduling DCI. It </w:t>
      </w:r>
      <w:r>
        <w:rPr>
          <w:rFonts w:hint="eastAsia"/>
          <w:szCs w:val="21"/>
        </w:rPr>
        <w:t xml:space="preserve">will increase the </w:t>
      </w:r>
      <w:r>
        <w:rPr>
          <w:szCs w:val="21"/>
        </w:rPr>
        <w:t>latency</w:t>
      </w:r>
      <w:r>
        <w:rPr>
          <w:rFonts w:hint="eastAsia"/>
          <w:szCs w:val="21"/>
        </w:rPr>
        <w:t xml:space="preserve"> of data transmission and </w:t>
      </w:r>
      <w:r>
        <w:rPr>
          <w:szCs w:val="21"/>
        </w:rPr>
        <w:t>degrade</w:t>
      </w:r>
      <w:r>
        <w:rPr>
          <w:rFonts w:hint="eastAsia"/>
          <w:szCs w:val="21"/>
        </w:rPr>
        <w:t xml:space="preserve"> user experience. Further</w:t>
      </w:r>
      <w:r>
        <w:rPr>
          <w:szCs w:val="21"/>
        </w:rPr>
        <w:t>more</w:t>
      </w:r>
      <w:r>
        <w:rPr>
          <w:rFonts w:hint="eastAsia"/>
          <w:szCs w:val="21"/>
        </w:rPr>
        <w:t xml:space="preserve">, when large data packets need to be transmitted, the </w:t>
      </w:r>
      <w:r>
        <w:rPr>
          <w:szCs w:val="21"/>
        </w:rPr>
        <w:t xml:space="preserve">frequent </w:t>
      </w:r>
      <w:r>
        <w:rPr>
          <w:rFonts w:hint="eastAsia"/>
          <w:szCs w:val="21"/>
        </w:rPr>
        <w:t xml:space="preserve">PDCCH skipping operation will </w:t>
      </w:r>
      <w:r>
        <w:rPr>
          <w:szCs w:val="21"/>
        </w:rPr>
        <w:t>also decrease</w:t>
      </w:r>
      <w:r>
        <w:rPr>
          <w:rFonts w:hint="eastAsia"/>
          <w:szCs w:val="21"/>
        </w:rPr>
        <w:t xml:space="preserve"> the power saving gain</w:t>
      </w:r>
      <w:r>
        <w:rPr>
          <w:szCs w:val="21"/>
        </w:rPr>
        <w:t xml:space="preserve"> [2]</w:t>
      </w:r>
      <w:r>
        <w:rPr>
          <w:rFonts w:hint="eastAsia"/>
          <w:szCs w:val="21"/>
        </w:rPr>
        <w:t xml:space="preserve">. Therefore, the Beh 1 should be </w:t>
      </w:r>
      <w:r>
        <w:rPr>
          <w:szCs w:val="21"/>
        </w:rPr>
        <w:t>supported</w:t>
      </w:r>
      <w:r>
        <w:rPr>
          <w:rFonts w:hint="eastAsia"/>
          <w:szCs w:val="21"/>
        </w:rPr>
        <w:t xml:space="preserve">. </w:t>
      </w:r>
    </w:p>
    <w:p w:rsidR="00BA4952" w:rsidRDefault="00C56E6B">
      <w:pPr>
        <w:pStyle w:val="YJ-Proposal"/>
        <w:spacing w:before="120" w:after="120"/>
        <w:jc w:val="both"/>
        <w:rPr>
          <w:i w:val="0"/>
          <w:iCs w:val="0"/>
          <w:sz w:val="21"/>
          <w:szCs w:val="21"/>
          <w:lang w:val="en-US" w:eastAsia="zh-CN"/>
        </w:rPr>
      </w:pPr>
      <w:bookmarkStart w:id="3" w:name="_Toc1604"/>
      <w:bookmarkStart w:id="4" w:name="_Toc7976"/>
      <w:bookmarkStart w:id="5" w:name="_Toc18979"/>
      <w:bookmarkStart w:id="6" w:name="_Toc23603"/>
      <w:bookmarkStart w:id="7" w:name="_Toc13745"/>
      <w:bookmarkStart w:id="8" w:name="_Toc3182"/>
      <w:bookmarkStart w:id="9" w:name="_Toc17564"/>
      <w:bookmarkStart w:id="10" w:name="_Toc6688"/>
      <w:bookmarkStart w:id="11" w:name="_Toc2560"/>
      <w:bookmarkStart w:id="12" w:name="_Toc21430"/>
      <w:r>
        <w:rPr>
          <w:rFonts w:hint="eastAsia"/>
          <w:i w:val="0"/>
          <w:iCs w:val="0"/>
          <w:sz w:val="21"/>
          <w:szCs w:val="21"/>
          <w:lang w:val="en-US" w:eastAsia="zh-CN"/>
        </w:rPr>
        <w:t>The working assumptions about Beh 1 should be confirmed.</w:t>
      </w:r>
      <w:bookmarkEnd w:id="3"/>
      <w:bookmarkEnd w:id="4"/>
      <w:bookmarkEnd w:id="5"/>
      <w:bookmarkEnd w:id="6"/>
      <w:bookmarkEnd w:id="7"/>
      <w:bookmarkEnd w:id="8"/>
      <w:bookmarkEnd w:id="9"/>
      <w:bookmarkEnd w:id="10"/>
      <w:bookmarkEnd w:id="11"/>
      <w:bookmarkEnd w:id="12"/>
    </w:p>
    <w:p w:rsidR="00BA4952" w:rsidRDefault="00C56E6B">
      <w:pPr>
        <w:spacing w:before="120" w:after="120"/>
        <w:rPr>
          <w:i/>
          <w:iCs/>
        </w:rPr>
      </w:pPr>
      <w:r>
        <w:t xml:space="preserve">The Beh 2B is used to emulate the PDCCH skipping function so </w:t>
      </w:r>
      <w:r>
        <w:rPr>
          <w:rFonts w:hint="eastAsia"/>
        </w:rPr>
        <w:t xml:space="preserve">that the UE can </w:t>
      </w:r>
      <w:r>
        <w:t>stop</w:t>
      </w:r>
      <w:r>
        <w:rPr>
          <w:rFonts w:hint="eastAsia"/>
        </w:rPr>
        <w:t xml:space="preserve"> PDCCH monitoring for a period </w:t>
      </w:r>
      <w:r>
        <w:t>in the framework of SSSG switching</w:t>
      </w:r>
      <w:r>
        <w:rPr>
          <w:rFonts w:hint="eastAsia"/>
        </w:rPr>
        <w:t xml:space="preserve">. </w:t>
      </w:r>
      <w:r>
        <w:t xml:space="preserve">In this sense, it doesn’t need to configure </w:t>
      </w:r>
      <w:r>
        <w:rPr>
          <w:rFonts w:hint="eastAsia"/>
        </w:rPr>
        <w:t xml:space="preserve">UE </w:t>
      </w:r>
      <w:r>
        <w:t>with</w:t>
      </w:r>
      <w:r>
        <w:rPr>
          <w:rFonts w:hint="eastAsia"/>
        </w:rPr>
        <w:t xml:space="preserve"> </w:t>
      </w:r>
      <w:r>
        <w:t xml:space="preserve">a duplicated function of </w:t>
      </w:r>
      <w:r>
        <w:rPr>
          <w:rFonts w:hint="eastAsia"/>
        </w:rPr>
        <w:t xml:space="preserve">both Beh 1A and Beh 2B at the same time. </w:t>
      </w:r>
    </w:p>
    <w:p w:rsidR="00BA4952" w:rsidRDefault="00C56E6B">
      <w:pPr>
        <w:spacing w:before="120" w:after="120"/>
      </w:pPr>
      <w:r>
        <w:rPr>
          <w:rFonts w:hint="eastAsia"/>
        </w:rPr>
        <w:t xml:space="preserve">Switching between two SSSGs </w:t>
      </w:r>
      <w:r>
        <w:t xml:space="preserve">is </w:t>
      </w:r>
      <w:r>
        <w:rPr>
          <w:rFonts w:hint="eastAsia"/>
        </w:rPr>
        <w:t xml:space="preserve">to enable PDCCH </w:t>
      </w:r>
      <w:r>
        <w:t>monitoring adaptation</w:t>
      </w:r>
      <w:r>
        <w:rPr>
          <w:rFonts w:hint="eastAsia"/>
        </w:rPr>
        <w:t xml:space="preserve"> between sparse PDCCH monitoring </w:t>
      </w:r>
      <w:r>
        <w:t xml:space="preserve">occasions </w:t>
      </w:r>
      <w:r>
        <w:rPr>
          <w:rFonts w:hint="eastAsia"/>
        </w:rPr>
        <w:t>and dense PDCCH monitoring</w:t>
      </w:r>
      <w:r>
        <w:t xml:space="preserve"> occasions</w:t>
      </w:r>
      <w:r>
        <w:rPr>
          <w:rFonts w:hint="eastAsia"/>
        </w:rPr>
        <w:t xml:space="preserve">. </w:t>
      </w:r>
      <w:r>
        <w:t>However, the benefits of supporting 3 SSSGs has not been verified, especially considering the case when</w:t>
      </w:r>
      <w:r>
        <w:rPr>
          <w:rFonts w:hint="eastAsia"/>
        </w:rPr>
        <w:t xml:space="preserve"> both PDCCH skipping and SSSG switching are supported, the function of Beh 2B can be realized through Beh 1A. In addition, more SSSGs will increase signaling overhead, as well as </w:t>
      </w:r>
      <w:r>
        <w:t xml:space="preserve">implementation complexity. Hence, if the working assumption about Beh 2B is confirmed, </w:t>
      </w:r>
      <w:r>
        <w:rPr>
          <w:rStyle w:val="af"/>
          <w:color w:val="auto"/>
        </w:rPr>
        <w:t>whether more than 2 SSSGs is supported should be determined by UE capability</w:t>
      </w:r>
      <w:r>
        <w:t>.</w:t>
      </w:r>
    </w:p>
    <w:p w:rsidR="00BA4952" w:rsidRDefault="00C56E6B" w:rsidP="00D23CE0">
      <w:pPr>
        <w:pStyle w:val="YJ-Proposal"/>
        <w:spacing w:before="120" w:after="120"/>
        <w:jc w:val="both"/>
        <w:rPr>
          <w:i w:val="0"/>
          <w:iCs w:val="0"/>
        </w:rPr>
      </w:pPr>
      <w:bookmarkStart w:id="13" w:name="_Toc32667"/>
      <w:r>
        <w:rPr>
          <w:i w:val="0"/>
          <w:iCs w:val="0"/>
          <w:lang w:val="en-US" w:eastAsia="zh-CN"/>
        </w:rPr>
        <w:t xml:space="preserve">If the working assumption about Beh 2B is confirmed, </w:t>
      </w:r>
      <w:r>
        <w:rPr>
          <w:rStyle w:val="af"/>
          <w:i w:val="0"/>
          <w:iCs w:val="0"/>
          <w:color w:val="auto"/>
        </w:rPr>
        <w:t xml:space="preserve">whether more than 2 SSSGs is supported </w:t>
      </w:r>
      <w:r>
        <w:rPr>
          <w:rStyle w:val="af"/>
          <w:i w:val="0"/>
          <w:iCs w:val="0"/>
          <w:color w:val="auto"/>
          <w:lang w:val="en-US" w:eastAsia="zh-CN"/>
        </w:rPr>
        <w:t>should be determined by UE capability.</w:t>
      </w:r>
      <w:bookmarkEnd w:id="13"/>
    </w:p>
    <w:p w:rsidR="00BA4952" w:rsidRDefault="00C56E6B">
      <w:pPr>
        <w:spacing w:before="120" w:after="120"/>
      </w:pPr>
      <w:r>
        <w:rPr>
          <w:rFonts w:hint="eastAsia"/>
        </w:rPr>
        <w:t>For RRC connected-mode UE, the data arrival</w:t>
      </w:r>
      <w:r>
        <w:t xml:space="preserve"> pattern</w:t>
      </w:r>
      <w:r>
        <w:rPr>
          <w:rFonts w:hint="eastAsia"/>
        </w:rPr>
        <w:t xml:space="preserve"> is not fixed</w:t>
      </w:r>
      <w:r>
        <w:t xml:space="preserve"> in the real deployment</w:t>
      </w:r>
      <w:r>
        <w:rPr>
          <w:rFonts w:hint="eastAsia"/>
        </w:rPr>
        <w:t>.</w:t>
      </w:r>
      <w:r>
        <w:t xml:space="preserve"> </w:t>
      </w:r>
      <w:r>
        <w:rPr>
          <w:rFonts w:hint="eastAsia"/>
        </w:rPr>
        <w:t xml:space="preserve">One </w:t>
      </w:r>
      <w:r>
        <w:t>pre-determined</w:t>
      </w:r>
      <w:r>
        <w:rPr>
          <w:rFonts w:hint="eastAsia"/>
        </w:rPr>
        <w:t xml:space="preserve"> PDCCH skipping duration cannot </w:t>
      </w:r>
      <w:r>
        <w:t>achieve the best power saving gain for</w:t>
      </w:r>
      <w:r>
        <w:rPr>
          <w:rFonts w:hint="eastAsia"/>
        </w:rPr>
        <w:t xml:space="preserve"> multiple </w:t>
      </w:r>
      <w:r>
        <w:t>on-going applications</w:t>
      </w:r>
      <w:r>
        <w:rPr>
          <w:rFonts w:hint="eastAsia"/>
        </w:rPr>
        <w:t xml:space="preserve">. </w:t>
      </w:r>
      <w:r>
        <w:t>For example, i</w:t>
      </w:r>
      <w:r>
        <w:rPr>
          <w:rFonts w:hint="eastAsia"/>
        </w:rPr>
        <w:t>f PDCCH skipping duration is to</w:t>
      </w:r>
      <w:r>
        <w:t>o</w:t>
      </w:r>
      <w:r>
        <w:rPr>
          <w:rFonts w:hint="eastAsia"/>
        </w:rPr>
        <w:t xml:space="preserve"> </w:t>
      </w:r>
      <w:r>
        <w:t>conservative</w:t>
      </w:r>
      <w:r>
        <w:rPr>
          <w:rFonts w:hint="eastAsia"/>
        </w:rPr>
        <w:t xml:space="preserve">, the power saving gain </w:t>
      </w:r>
      <w:r>
        <w:t xml:space="preserve">will </w:t>
      </w:r>
      <w:r>
        <w:rPr>
          <w:rFonts w:hint="eastAsia"/>
        </w:rPr>
        <w:t xml:space="preserve">be </w:t>
      </w:r>
      <w:r>
        <w:t>limited</w:t>
      </w:r>
      <w:r>
        <w:rPr>
          <w:rFonts w:hint="eastAsia"/>
        </w:rPr>
        <w:t xml:space="preserve"> in the case of sparse PDCCH</w:t>
      </w:r>
      <w:r>
        <w:t xml:space="preserve"> monitoring occasions</w:t>
      </w:r>
      <w:r>
        <w:rPr>
          <w:rFonts w:hint="eastAsia"/>
        </w:rPr>
        <w:t>. If PDCCH skipping duration is to</w:t>
      </w:r>
      <w:r>
        <w:t>o</w:t>
      </w:r>
      <w:r>
        <w:rPr>
          <w:rFonts w:hint="eastAsia"/>
        </w:rPr>
        <w:t xml:space="preserve"> </w:t>
      </w:r>
      <w:r>
        <w:t>aggressive</w:t>
      </w:r>
      <w:r>
        <w:rPr>
          <w:rFonts w:hint="eastAsia"/>
        </w:rPr>
        <w:t xml:space="preserve">, it may lead to large </w:t>
      </w:r>
      <w:r>
        <w:t>scheduling delay</w:t>
      </w:r>
      <w:r>
        <w:rPr>
          <w:rFonts w:hint="eastAsia"/>
        </w:rPr>
        <w:t>. Therefore, to better adapt to different service</w:t>
      </w:r>
      <w:r>
        <w:t>s</w:t>
      </w:r>
      <w:r>
        <w:rPr>
          <w:rFonts w:hint="eastAsia"/>
        </w:rPr>
        <w:t xml:space="preserve"> and obtain a large power saving gain, multiple PDCCH skipping durations should be supported. </w:t>
      </w:r>
      <w:r>
        <w:t>With</w:t>
      </w:r>
      <w:r>
        <w:rPr>
          <w:rFonts w:hint="eastAsia"/>
        </w:rPr>
        <w:t xml:space="preserve"> multiple</w:t>
      </w:r>
      <w:r>
        <w:t xml:space="preserve"> skipping</w:t>
      </w:r>
      <w:r>
        <w:rPr>
          <w:rFonts w:hint="eastAsia"/>
        </w:rPr>
        <w:t xml:space="preserve"> durations,</w:t>
      </w:r>
      <w:r>
        <w:t xml:space="preserve"> an appropriate PDCCH skipping period can be dynamically indicated by DCI in adaptation to traffic</w:t>
      </w:r>
      <w:r>
        <w:rPr>
          <w:rFonts w:hint="eastAsia"/>
        </w:rPr>
        <w:t>.</w:t>
      </w:r>
    </w:p>
    <w:p w:rsidR="00BA4952" w:rsidRDefault="00C56E6B">
      <w:pPr>
        <w:pStyle w:val="YJ-Proposal"/>
        <w:spacing w:before="120" w:after="120"/>
        <w:rPr>
          <w:i w:val="0"/>
          <w:iCs w:val="0"/>
          <w:lang w:val="en-US"/>
        </w:rPr>
      </w:pPr>
      <w:bookmarkStart w:id="14" w:name="_Toc3166"/>
      <w:bookmarkStart w:id="15" w:name="_Toc4110"/>
      <w:bookmarkStart w:id="16" w:name="_Toc14441"/>
      <w:r>
        <w:rPr>
          <w:rFonts w:hint="eastAsia"/>
          <w:i w:val="0"/>
          <w:iCs w:val="0"/>
          <w:lang w:val="en-US" w:eastAsia="zh-CN"/>
        </w:rPr>
        <w:t>Support multiple PDCCH skipping durations. The multiple durations can be configured by RRC signaling and indicated by DCI dynamically.</w:t>
      </w:r>
      <w:bookmarkEnd w:id="14"/>
      <w:bookmarkEnd w:id="15"/>
    </w:p>
    <w:bookmarkEnd w:id="16"/>
    <w:p w:rsidR="00BA4952" w:rsidRDefault="00BA4952">
      <w:pPr>
        <w:numPr>
          <w:ilvl w:val="255"/>
          <w:numId w:val="0"/>
        </w:numPr>
        <w:spacing w:before="120" w:after="120"/>
        <w:rPr>
          <w:b/>
          <w:bCs/>
        </w:rPr>
      </w:pPr>
    </w:p>
    <w:p w:rsidR="00BA4952" w:rsidRDefault="00C56E6B">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 xml:space="preserve">Triggering method of PDCCH monitoring </w:t>
      </w:r>
      <w:r>
        <w:rPr>
          <w:rFonts w:ascii="Times New Roman" w:hAnsi="Times New Roman"/>
          <w:b/>
          <w:bCs/>
          <w:sz w:val="22"/>
          <w:szCs w:val="22"/>
        </w:rPr>
        <w:t>adaptation</w:t>
      </w:r>
    </w:p>
    <w:p w:rsidR="00BA4952" w:rsidRDefault="00C56E6B">
      <w:pPr>
        <w:spacing w:before="120" w:after="120"/>
      </w:pPr>
      <w:r>
        <w:rPr>
          <w:rFonts w:hint="eastAsia"/>
        </w:rPr>
        <w:t xml:space="preserve">In previous meetings, the PDCCH monitoring adaptation triggered by scheduling DCIs (i.e., DCI format 1-1/0-1/1-2/0-2) is agreed. At most 2 bits can be used in self-scheduling DCIs for triggering the PDCCH monitoring adaptation in a single cell. Therefore, a maximum of four </w:t>
      </w:r>
      <w:r>
        <w:t>states</w:t>
      </w:r>
      <w:r>
        <w:rPr>
          <w:rFonts w:hint="eastAsia"/>
        </w:rPr>
        <w:t xml:space="preserve"> can be indicated. </w:t>
      </w:r>
      <w:r>
        <w:t>Herein, the mapping between the four codepoints in DCI and PDCCH monitoring behaviors are discussed.</w:t>
      </w:r>
    </w:p>
    <w:p w:rsidR="00BA4952" w:rsidRDefault="00C56E6B">
      <w:pPr>
        <w:numPr>
          <w:ilvl w:val="0"/>
          <w:numId w:val="11"/>
        </w:numPr>
        <w:spacing w:before="120" w:after="120"/>
        <w:rPr>
          <w:b/>
          <w:bCs/>
        </w:rPr>
      </w:pPr>
      <w:r>
        <w:rPr>
          <w:rFonts w:hint="eastAsia"/>
          <w:b/>
          <w:bCs/>
        </w:rPr>
        <w:t xml:space="preserve">PDCCH skipping </w:t>
      </w:r>
      <w:r>
        <w:rPr>
          <w:b/>
          <w:bCs/>
        </w:rPr>
        <w:t>o</w:t>
      </w:r>
      <w:r>
        <w:rPr>
          <w:rFonts w:hint="eastAsia"/>
          <w:b/>
          <w:bCs/>
        </w:rPr>
        <w:t xml:space="preserve">nly </w:t>
      </w:r>
    </w:p>
    <w:p w:rsidR="00BA4952" w:rsidRDefault="00C56E6B">
      <w:pPr>
        <w:spacing w:before="120" w:after="120"/>
      </w:pPr>
      <w:r>
        <w:t xml:space="preserve">When the data arrival is sporadic, a DCI can be used to indicate PDCCH skipping operation. </w:t>
      </w:r>
      <w:r>
        <w:rPr>
          <w:rFonts w:hint="eastAsia"/>
        </w:rPr>
        <w:t>For PDCCH skipping indication, the relationship between the indicat</w:t>
      </w:r>
      <w:r>
        <w:t>ed</w:t>
      </w:r>
      <w:r>
        <w:rPr>
          <w:rFonts w:hint="eastAsia"/>
        </w:rPr>
        <w:t xml:space="preserve"> bits and the skipping durations can be described as Table 1.</w:t>
      </w:r>
    </w:p>
    <w:p w:rsidR="00BA4952" w:rsidRDefault="00BA4952">
      <w:pPr>
        <w:spacing w:before="120" w:after="120"/>
        <w:jc w:val="center"/>
      </w:pPr>
    </w:p>
    <w:p w:rsidR="00BA4952" w:rsidRDefault="00C56E6B">
      <w:pPr>
        <w:spacing w:before="120" w:after="120"/>
        <w:jc w:val="center"/>
      </w:pPr>
      <w:r>
        <w:rPr>
          <w:rFonts w:hint="eastAsia"/>
        </w:rPr>
        <w:t xml:space="preserve">Table 1 Mapping of PDCCH skipping indicator value to PDCCH skipping durations </w:t>
      </w:r>
    </w:p>
    <w:tbl>
      <w:tblPr>
        <w:tblStyle w:val="ac"/>
        <w:tblW w:w="8374" w:type="dxa"/>
        <w:jc w:val="center"/>
        <w:tblLook w:val="04A0" w:firstRow="1" w:lastRow="0" w:firstColumn="1" w:lastColumn="0" w:noHBand="0" w:noVBand="1"/>
      </w:tblPr>
      <w:tblGrid>
        <w:gridCol w:w="2362"/>
        <w:gridCol w:w="2447"/>
        <w:gridCol w:w="3565"/>
      </w:tblGrid>
      <w:tr w:rsidR="00BA4952">
        <w:trPr>
          <w:trHeight w:val="388"/>
          <w:jc w:val="center"/>
        </w:trPr>
        <w:tc>
          <w:tcPr>
            <w:tcW w:w="4809" w:type="dxa"/>
            <w:gridSpan w:val="2"/>
            <w:vAlign w:val="center"/>
          </w:tcPr>
          <w:p w:rsidR="00BA4952" w:rsidRDefault="00C56E6B">
            <w:pPr>
              <w:spacing w:beforeLines="0" w:before="0" w:afterLines="0" w:after="0" w:line="260" w:lineRule="auto"/>
              <w:jc w:val="center"/>
              <w:rPr>
                <w:b/>
                <w:bCs/>
              </w:rPr>
            </w:pPr>
            <w:r>
              <w:rPr>
                <w:rFonts w:hint="eastAsia"/>
                <w:b/>
                <w:bCs/>
              </w:rPr>
              <w:t>PDCCH skipping indicator</w:t>
            </w:r>
          </w:p>
        </w:tc>
        <w:tc>
          <w:tcPr>
            <w:tcW w:w="3565" w:type="dxa"/>
            <w:vMerge w:val="restart"/>
            <w:vAlign w:val="center"/>
          </w:tcPr>
          <w:p w:rsidR="00BA4952" w:rsidRDefault="00C56E6B">
            <w:pPr>
              <w:spacing w:beforeLines="0" w:before="0" w:afterLines="0" w:after="0" w:line="260" w:lineRule="auto"/>
              <w:jc w:val="center"/>
              <w:rPr>
                <w:b/>
                <w:bCs/>
              </w:rPr>
            </w:pPr>
            <w:r>
              <w:rPr>
                <w:rFonts w:hint="eastAsia"/>
                <w:b/>
                <w:bCs/>
              </w:rPr>
              <w:t>PDCCH skipping operation</w:t>
            </w:r>
          </w:p>
        </w:tc>
      </w:tr>
      <w:tr w:rsidR="00BA4952">
        <w:trPr>
          <w:trHeight w:val="388"/>
          <w:jc w:val="center"/>
        </w:trPr>
        <w:tc>
          <w:tcPr>
            <w:tcW w:w="2362" w:type="dxa"/>
            <w:vAlign w:val="center"/>
          </w:tcPr>
          <w:p w:rsidR="00BA4952" w:rsidRDefault="00C56E6B">
            <w:pPr>
              <w:spacing w:beforeLines="0" w:before="0" w:afterLines="0" w:after="0" w:line="260" w:lineRule="auto"/>
              <w:jc w:val="center"/>
              <w:rPr>
                <w:b/>
                <w:bCs/>
              </w:rPr>
            </w:pPr>
            <w:r>
              <w:rPr>
                <w:rFonts w:hint="eastAsia"/>
                <w:b/>
                <w:bCs/>
              </w:rPr>
              <w:t>1 bit</w:t>
            </w:r>
          </w:p>
        </w:tc>
        <w:tc>
          <w:tcPr>
            <w:tcW w:w="2447" w:type="dxa"/>
            <w:vAlign w:val="center"/>
          </w:tcPr>
          <w:p w:rsidR="00BA4952" w:rsidRDefault="00C56E6B">
            <w:pPr>
              <w:spacing w:beforeLines="0" w:before="0" w:afterLines="0" w:after="0" w:line="260" w:lineRule="auto"/>
              <w:jc w:val="center"/>
              <w:rPr>
                <w:b/>
                <w:bCs/>
              </w:rPr>
            </w:pPr>
            <w:r>
              <w:rPr>
                <w:rFonts w:hint="eastAsia"/>
                <w:b/>
                <w:bCs/>
              </w:rPr>
              <w:t>2 bit</w:t>
            </w:r>
          </w:p>
        </w:tc>
        <w:tc>
          <w:tcPr>
            <w:tcW w:w="3565" w:type="dxa"/>
            <w:vMerge/>
            <w:vAlign w:val="center"/>
          </w:tcPr>
          <w:p w:rsidR="00BA4952" w:rsidRDefault="00BA4952">
            <w:pPr>
              <w:spacing w:beforeLines="0" w:before="0" w:afterLines="0" w:after="0" w:line="260" w:lineRule="auto"/>
              <w:jc w:val="center"/>
              <w:rPr>
                <w:b/>
                <w:bCs/>
              </w:rPr>
            </w:pPr>
          </w:p>
        </w:tc>
      </w:tr>
      <w:tr w:rsidR="00BA4952">
        <w:trPr>
          <w:trHeight w:val="388"/>
          <w:jc w:val="center"/>
        </w:trPr>
        <w:tc>
          <w:tcPr>
            <w:tcW w:w="2362" w:type="dxa"/>
            <w:vAlign w:val="center"/>
          </w:tcPr>
          <w:p w:rsidR="00BA4952" w:rsidRDefault="00C56E6B">
            <w:pPr>
              <w:spacing w:beforeLines="0" w:before="0" w:afterLines="0" w:after="0" w:line="260" w:lineRule="auto"/>
              <w:jc w:val="center"/>
            </w:pPr>
            <w:r>
              <w:rPr>
                <w:rFonts w:hint="eastAsia"/>
              </w:rPr>
              <w:t>0</w:t>
            </w:r>
          </w:p>
        </w:tc>
        <w:tc>
          <w:tcPr>
            <w:tcW w:w="2447" w:type="dxa"/>
            <w:vAlign w:val="center"/>
          </w:tcPr>
          <w:p w:rsidR="00BA4952" w:rsidRDefault="00C56E6B">
            <w:pPr>
              <w:spacing w:beforeLines="0" w:before="0" w:afterLines="0" w:after="0" w:line="260" w:lineRule="auto"/>
              <w:jc w:val="center"/>
            </w:pPr>
            <w:r>
              <w:rPr>
                <w:rFonts w:hint="eastAsia"/>
              </w:rPr>
              <w:t>00</w:t>
            </w:r>
          </w:p>
        </w:tc>
        <w:tc>
          <w:tcPr>
            <w:tcW w:w="3565" w:type="dxa"/>
            <w:vAlign w:val="center"/>
          </w:tcPr>
          <w:p w:rsidR="00BA4952" w:rsidRDefault="00C56E6B">
            <w:pPr>
              <w:spacing w:beforeLines="0" w:before="0" w:afterLines="0" w:after="0" w:line="260" w:lineRule="auto"/>
              <w:jc w:val="center"/>
            </w:pPr>
            <w:r>
              <w:rPr>
                <w:rFonts w:hint="eastAsia"/>
              </w:rPr>
              <w:t>No skipping</w:t>
            </w:r>
          </w:p>
        </w:tc>
      </w:tr>
      <w:tr w:rsidR="00BA4952">
        <w:trPr>
          <w:trHeight w:val="388"/>
          <w:jc w:val="center"/>
        </w:trPr>
        <w:tc>
          <w:tcPr>
            <w:tcW w:w="2362" w:type="dxa"/>
            <w:vAlign w:val="center"/>
          </w:tcPr>
          <w:p w:rsidR="00BA4952" w:rsidRDefault="00C56E6B">
            <w:pPr>
              <w:spacing w:beforeLines="0" w:before="0" w:afterLines="0" w:after="0" w:line="260" w:lineRule="auto"/>
              <w:jc w:val="center"/>
            </w:pPr>
            <w:r>
              <w:rPr>
                <w:rFonts w:hint="eastAsia"/>
              </w:rPr>
              <w:t>1</w:t>
            </w:r>
          </w:p>
        </w:tc>
        <w:tc>
          <w:tcPr>
            <w:tcW w:w="2447" w:type="dxa"/>
            <w:vAlign w:val="center"/>
          </w:tcPr>
          <w:p w:rsidR="00BA4952" w:rsidRDefault="00C56E6B">
            <w:pPr>
              <w:spacing w:beforeLines="0" w:before="0" w:afterLines="0" w:after="0" w:line="260" w:lineRule="auto"/>
              <w:jc w:val="center"/>
            </w:pPr>
            <w:r>
              <w:rPr>
                <w:rFonts w:hint="eastAsia"/>
              </w:rPr>
              <w:t>01</w:t>
            </w:r>
          </w:p>
        </w:tc>
        <w:tc>
          <w:tcPr>
            <w:tcW w:w="3565" w:type="dxa"/>
            <w:vAlign w:val="center"/>
          </w:tcPr>
          <w:p w:rsidR="00BA4952" w:rsidRDefault="00C56E6B">
            <w:pPr>
              <w:spacing w:beforeLines="0" w:before="0" w:afterLines="0" w:after="0" w:line="260" w:lineRule="auto"/>
              <w:jc w:val="center"/>
            </w:pPr>
            <w:r>
              <w:rPr>
                <w:rFonts w:hint="eastAsia"/>
              </w:rPr>
              <w:t>Skipping duration 1</w:t>
            </w:r>
          </w:p>
        </w:tc>
      </w:tr>
      <w:tr w:rsidR="00BA4952">
        <w:trPr>
          <w:trHeight w:val="388"/>
          <w:jc w:val="center"/>
        </w:trPr>
        <w:tc>
          <w:tcPr>
            <w:tcW w:w="2362" w:type="dxa"/>
            <w:vAlign w:val="center"/>
          </w:tcPr>
          <w:p w:rsidR="00BA4952" w:rsidRDefault="00BA4952">
            <w:pPr>
              <w:spacing w:beforeLines="0" w:before="0" w:afterLines="0" w:after="0" w:line="260" w:lineRule="auto"/>
              <w:jc w:val="center"/>
            </w:pPr>
          </w:p>
        </w:tc>
        <w:tc>
          <w:tcPr>
            <w:tcW w:w="2447" w:type="dxa"/>
            <w:vAlign w:val="center"/>
          </w:tcPr>
          <w:p w:rsidR="00BA4952" w:rsidRDefault="00C56E6B">
            <w:pPr>
              <w:spacing w:beforeLines="0" w:before="0" w:afterLines="0" w:after="0" w:line="260" w:lineRule="auto"/>
              <w:jc w:val="center"/>
            </w:pPr>
            <w:r>
              <w:rPr>
                <w:rFonts w:hint="eastAsia"/>
              </w:rPr>
              <w:t>10</w:t>
            </w:r>
          </w:p>
        </w:tc>
        <w:tc>
          <w:tcPr>
            <w:tcW w:w="3565" w:type="dxa"/>
            <w:vAlign w:val="center"/>
          </w:tcPr>
          <w:p w:rsidR="00BA4952" w:rsidRDefault="00C56E6B">
            <w:pPr>
              <w:spacing w:beforeLines="0" w:before="0" w:afterLines="0" w:after="0" w:line="260" w:lineRule="auto"/>
              <w:jc w:val="center"/>
            </w:pPr>
            <w:r>
              <w:rPr>
                <w:rFonts w:hint="eastAsia"/>
              </w:rPr>
              <w:t>Skipping duration 2</w:t>
            </w:r>
          </w:p>
        </w:tc>
      </w:tr>
      <w:tr w:rsidR="00BA4952">
        <w:trPr>
          <w:trHeight w:val="442"/>
          <w:jc w:val="center"/>
        </w:trPr>
        <w:tc>
          <w:tcPr>
            <w:tcW w:w="2362" w:type="dxa"/>
            <w:vAlign w:val="center"/>
          </w:tcPr>
          <w:p w:rsidR="00BA4952" w:rsidRDefault="00BA4952">
            <w:pPr>
              <w:spacing w:beforeLines="0" w:before="0" w:afterLines="0" w:after="0" w:line="260" w:lineRule="auto"/>
              <w:jc w:val="center"/>
            </w:pPr>
          </w:p>
        </w:tc>
        <w:tc>
          <w:tcPr>
            <w:tcW w:w="2447" w:type="dxa"/>
            <w:vAlign w:val="center"/>
          </w:tcPr>
          <w:p w:rsidR="00BA4952" w:rsidRDefault="00C56E6B">
            <w:pPr>
              <w:spacing w:beforeLines="0" w:before="0" w:afterLines="0" w:after="0" w:line="260" w:lineRule="auto"/>
              <w:jc w:val="center"/>
            </w:pPr>
            <w:r>
              <w:rPr>
                <w:rFonts w:hint="eastAsia"/>
              </w:rPr>
              <w:t>11</w:t>
            </w:r>
          </w:p>
        </w:tc>
        <w:tc>
          <w:tcPr>
            <w:tcW w:w="3565" w:type="dxa"/>
            <w:vAlign w:val="center"/>
          </w:tcPr>
          <w:p w:rsidR="00BA4952" w:rsidRDefault="00C56E6B">
            <w:pPr>
              <w:spacing w:beforeLines="0" w:before="0" w:afterLines="0" w:after="0" w:line="260" w:lineRule="auto"/>
              <w:jc w:val="center"/>
            </w:pPr>
            <w:r>
              <w:rPr>
                <w:rFonts w:hint="eastAsia"/>
              </w:rPr>
              <w:t>Skipping duration 3</w:t>
            </w:r>
          </w:p>
        </w:tc>
      </w:tr>
    </w:tbl>
    <w:p w:rsidR="00BA4952" w:rsidRDefault="00BA4952">
      <w:pPr>
        <w:spacing w:before="120" w:after="120"/>
      </w:pPr>
    </w:p>
    <w:p w:rsidR="00BA4952" w:rsidRDefault="00C56E6B">
      <w:pPr>
        <w:pStyle w:val="YJ-Proposal"/>
        <w:spacing w:before="120" w:after="120"/>
        <w:rPr>
          <w:i w:val="0"/>
          <w:iCs w:val="0"/>
          <w:lang w:val="en-US"/>
        </w:rPr>
      </w:pPr>
      <w:bookmarkStart w:id="17" w:name="_Toc29723"/>
      <w:bookmarkStart w:id="18" w:name="_Toc19519"/>
      <w:r>
        <w:rPr>
          <w:rFonts w:hint="eastAsia"/>
          <w:i w:val="0"/>
          <w:iCs w:val="0"/>
          <w:lang w:val="en-US" w:eastAsia="zh-CN"/>
        </w:rPr>
        <w:t>Support the mapping method for PDCCH skipping in Table 1.</w:t>
      </w:r>
      <w:bookmarkEnd w:id="17"/>
      <w:bookmarkEnd w:id="18"/>
    </w:p>
    <w:p w:rsidR="00BA4952" w:rsidRDefault="00BA4952">
      <w:pPr>
        <w:spacing w:before="120" w:after="120"/>
      </w:pPr>
    </w:p>
    <w:p w:rsidR="00BA4952" w:rsidRDefault="00C56E6B">
      <w:pPr>
        <w:numPr>
          <w:ilvl w:val="0"/>
          <w:numId w:val="11"/>
        </w:numPr>
        <w:spacing w:before="120" w:after="120"/>
        <w:rPr>
          <w:b/>
          <w:bCs/>
        </w:rPr>
      </w:pPr>
      <w:r>
        <w:rPr>
          <w:rFonts w:hint="eastAsia"/>
          <w:b/>
          <w:bCs/>
        </w:rPr>
        <w:t xml:space="preserve">SSSG switching </w:t>
      </w:r>
      <w:r>
        <w:rPr>
          <w:b/>
          <w:bCs/>
        </w:rPr>
        <w:t>o</w:t>
      </w:r>
      <w:r>
        <w:rPr>
          <w:rFonts w:hint="eastAsia"/>
          <w:b/>
          <w:bCs/>
        </w:rPr>
        <w:t xml:space="preserve">nly </w:t>
      </w:r>
    </w:p>
    <w:p w:rsidR="00BA4952" w:rsidRDefault="00C56E6B">
      <w:pPr>
        <w:spacing w:before="120" w:after="120"/>
      </w:pPr>
      <w:r>
        <w:rPr>
          <w:rFonts w:hint="eastAsia"/>
        </w:rPr>
        <w:t xml:space="preserve">For Rel-16 SSSG switching, timer-based triggering method is also supported as </w:t>
      </w:r>
      <w:r>
        <w:t xml:space="preserve">shown in Figure </w:t>
      </w:r>
      <w:r>
        <w:rPr>
          <w:rFonts w:hint="eastAsia"/>
        </w:rPr>
        <w:t>1. And the timer-based triggering method can be reused for Rel-17 SSSG switching to simplify the specification work</w:t>
      </w:r>
      <w:r>
        <w:t>load</w:t>
      </w:r>
      <w:r>
        <w:rPr>
          <w:rFonts w:hint="eastAsia"/>
        </w:rPr>
        <w:t xml:space="preserve">. </w:t>
      </w:r>
    </w:p>
    <w:p w:rsidR="00BA4952" w:rsidRDefault="00C56E6B">
      <w:pPr>
        <w:pStyle w:val="YJ-Proposal"/>
        <w:spacing w:before="120" w:after="120"/>
        <w:jc w:val="both"/>
        <w:rPr>
          <w:lang w:val="en-US"/>
        </w:rPr>
      </w:pPr>
      <w:bookmarkStart w:id="19" w:name="_Toc5380"/>
      <w:bookmarkStart w:id="20" w:name="_Toc6016"/>
      <w:bookmarkStart w:id="21" w:name="_Toc4413"/>
      <w:bookmarkStart w:id="22" w:name="_Ref20825"/>
      <w:r>
        <w:rPr>
          <w:rFonts w:hint="eastAsia"/>
          <w:i w:val="0"/>
          <w:iCs w:val="0"/>
          <w:lang w:val="en-US"/>
        </w:rPr>
        <w:t>For SSSG switching, timer-based triggering mechanism for SSSG switching can be reused to simplify the specification work.</w:t>
      </w:r>
      <w:bookmarkEnd w:id="19"/>
      <w:bookmarkEnd w:id="20"/>
      <w:bookmarkEnd w:id="21"/>
      <w:r>
        <w:rPr>
          <w:rFonts w:hint="eastAsia"/>
          <w:lang w:val="en-US"/>
        </w:rPr>
        <w:t xml:space="preserve"> </w:t>
      </w:r>
      <w:bookmarkEnd w:id="22"/>
    </w:p>
    <w:p w:rsidR="00BA4952" w:rsidRDefault="00C56E6B">
      <w:pPr>
        <w:spacing w:before="120" w:after="120"/>
        <w:jc w:val="center"/>
      </w:pPr>
      <w:r>
        <w:rPr>
          <w:noProof/>
        </w:rPr>
        <w:drawing>
          <wp:inline distT="0" distB="0" distL="114300" distR="114300">
            <wp:extent cx="2797175" cy="1248410"/>
            <wp:effectExtent l="0" t="0" r="3175"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2797175" cy="1248410"/>
                    </a:xfrm>
                    <a:prstGeom prst="rect">
                      <a:avLst/>
                    </a:prstGeom>
                    <a:noFill/>
                    <a:ln>
                      <a:noFill/>
                    </a:ln>
                  </pic:spPr>
                </pic:pic>
              </a:graphicData>
            </a:graphic>
          </wp:inline>
        </w:drawing>
      </w:r>
    </w:p>
    <w:p w:rsidR="00BA4952" w:rsidRDefault="00C56E6B">
      <w:pPr>
        <w:spacing w:before="120" w:after="120"/>
        <w:jc w:val="center"/>
      </w:pPr>
      <w:r>
        <w:rPr>
          <w:rFonts w:hint="eastAsia"/>
        </w:rPr>
        <w:t>Figure 1 SSSG switching mechanism in Rel-16</w:t>
      </w:r>
    </w:p>
    <w:p w:rsidR="00BA4952" w:rsidRDefault="00BA4952">
      <w:pPr>
        <w:spacing w:before="120" w:after="120"/>
      </w:pPr>
    </w:p>
    <w:p w:rsidR="00BA4952" w:rsidRDefault="00C56E6B">
      <w:pPr>
        <w:numPr>
          <w:ilvl w:val="0"/>
          <w:numId w:val="11"/>
        </w:numPr>
        <w:spacing w:before="120" w:after="120"/>
        <w:rPr>
          <w:b/>
          <w:bCs/>
        </w:rPr>
      </w:pPr>
      <w:r>
        <w:rPr>
          <w:rFonts w:hint="eastAsia"/>
          <w:b/>
          <w:bCs/>
        </w:rPr>
        <w:t>Both PDCCH skipping and SSSG switching</w:t>
      </w:r>
    </w:p>
    <w:p w:rsidR="00BA4952" w:rsidRDefault="00C56E6B">
      <w:pPr>
        <w:spacing w:before="120" w:after="120"/>
      </w:pPr>
      <w:r>
        <w:t>When both features are configured, the mechanisms of switching between PDCCH skipping and SSSG switching should be considered.</w:t>
      </w:r>
    </w:p>
    <w:p w:rsidR="00BA4952" w:rsidRDefault="00C56E6B">
      <w:pPr>
        <w:spacing w:before="120" w:after="120"/>
      </w:pPr>
      <w:r>
        <w:t>In</w:t>
      </w:r>
      <w:r>
        <w:rPr>
          <w:rFonts w:hint="eastAsia"/>
        </w:rPr>
        <w:t xml:space="preserve"> the case that UE switches from SSSG monitoring to PDCCH skipping, a timer based triggering method (</w:t>
      </w:r>
      <w:r>
        <w:t>de</w:t>
      </w:r>
      <w:r>
        <w:rPr>
          <w:rFonts w:hint="eastAsia"/>
        </w:rPr>
        <w:t xml:space="preserve">noted as a skipping timer) can help UE to </w:t>
      </w:r>
      <w:r>
        <w:t>adapt</w:t>
      </w:r>
      <w:r>
        <w:rPr>
          <w:rFonts w:hint="eastAsia"/>
        </w:rPr>
        <w:t xml:space="preserve"> PDCCH monitoring without</w:t>
      </w:r>
      <w:r>
        <w:t xml:space="preserve"> </w:t>
      </w:r>
      <w:r>
        <w:rPr>
          <w:rFonts w:hint="eastAsia"/>
        </w:rPr>
        <w:t xml:space="preserve">indication of </w:t>
      </w:r>
      <w:r>
        <w:t>scheduling</w:t>
      </w:r>
      <w:r>
        <w:rPr>
          <w:rFonts w:hint="eastAsia"/>
        </w:rPr>
        <w:t xml:space="preserve"> DCI. For example, when UE monitors PDCCH according to a sparse SSSG, the UE switches to PDCCH skipping after the skip</w:t>
      </w:r>
      <w:r>
        <w:t>ping</w:t>
      </w:r>
      <w:r>
        <w:rPr>
          <w:rFonts w:hint="eastAsia"/>
        </w:rPr>
        <w:t xml:space="preserve"> timer expires. The skipping timer is only used to trigger the PDCCH adaptation from a SSSG monitoring to PDCCH skipping.</w:t>
      </w:r>
    </w:p>
    <w:p w:rsidR="00BA4952" w:rsidRDefault="00C56E6B">
      <w:pPr>
        <w:pStyle w:val="YJ-Proposal"/>
        <w:spacing w:before="120" w:after="120"/>
        <w:rPr>
          <w:i w:val="0"/>
          <w:iCs w:val="0"/>
          <w:lang w:val="en-US"/>
        </w:rPr>
      </w:pPr>
      <w:bookmarkStart w:id="23" w:name="_Toc10226"/>
      <w:bookmarkStart w:id="24" w:name="_Toc927"/>
      <w:bookmarkStart w:id="25" w:name="_Toc20228"/>
      <w:bookmarkStart w:id="26" w:name="_Ref20835"/>
      <w:r>
        <w:rPr>
          <w:i w:val="0"/>
          <w:iCs w:val="0"/>
          <w:sz w:val="21"/>
          <w:szCs w:val="21"/>
          <w:lang w:val="en-US" w:eastAsia="zh-CN"/>
        </w:rPr>
        <w:t xml:space="preserve">A </w:t>
      </w:r>
      <w:r>
        <w:rPr>
          <w:rFonts w:hint="eastAsia"/>
          <w:i w:val="0"/>
          <w:iCs w:val="0"/>
          <w:lang w:val="en-US"/>
        </w:rPr>
        <w:t xml:space="preserve">skipping timer used for PDCCH adaptation from SSSG monitoring to PDCCH skipping should be considered in the cases of PDCCH </w:t>
      </w:r>
      <w:r>
        <w:rPr>
          <w:i w:val="0"/>
          <w:iCs w:val="0"/>
          <w:lang w:val="en-US"/>
        </w:rPr>
        <w:t xml:space="preserve">monitoring </w:t>
      </w:r>
      <w:r>
        <w:rPr>
          <w:rFonts w:hint="eastAsia"/>
          <w:i w:val="0"/>
          <w:iCs w:val="0"/>
          <w:lang w:val="en-US"/>
        </w:rPr>
        <w:t>adaptation without DCI indication.</w:t>
      </w:r>
      <w:bookmarkEnd w:id="23"/>
      <w:bookmarkEnd w:id="24"/>
      <w:bookmarkEnd w:id="25"/>
      <w:r>
        <w:rPr>
          <w:rFonts w:hint="eastAsia"/>
          <w:i w:val="0"/>
          <w:iCs w:val="0"/>
          <w:lang w:val="en-US"/>
        </w:rPr>
        <w:t xml:space="preserve"> </w:t>
      </w:r>
      <w:bookmarkEnd w:id="26"/>
    </w:p>
    <w:p w:rsidR="00BA4952" w:rsidRDefault="00C56E6B">
      <w:pPr>
        <w:spacing w:before="120" w:after="120"/>
      </w:pPr>
      <w:r>
        <w:t>In</w:t>
      </w:r>
      <w:r>
        <w:rPr>
          <w:rFonts w:hint="eastAsia"/>
        </w:rPr>
        <w:t xml:space="preserve"> the case that UE switches from PDCCH skipping to SSSG monitoring, UE shall start </w:t>
      </w:r>
      <w:r>
        <w:t xml:space="preserve">to </w:t>
      </w:r>
      <w:r>
        <w:rPr>
          <w:rFonts w:hint="eastAsia"/>
        </w:rPr>
        <w:t xml:space="preserve">monitor PDCCH according to a default SSSG after the end of the skipping duration. For the traffic model with a sparse data arrival, the UE can start to monitor PDCCH according to a sparse SSSG after the end of PDCCH skipping to save more power consumption. However, there are many </w:t>
      </w:r>
      <w:r>
        <w:t>deployment</w:t>
      </w:r>
      <w:r>
        <w:rPr>
          <w:rFonts w:hint="eastAsia"/>
        </w:rPr>
        <w:t xml:space="preserve"> scenarios corresponding to different traffic models in NR. To adapt</w:t>
      </w:r>
      <w:r>
        <w:t xml:space="preserve"> to</w:t>
      </w:r>
      <w:r>
        <w:rPr>
          <w:rFonts w:hint="eastAsia"/>
        </w:rPr>
        <w:t xml:space="preserve"> various traffic models, it is necessary to configure the default SSSG by RRC signaling. For example, if SSSG1 is set as the default SSSG, the UE should switch to monitoring SSSG1 after the end of PDCCH skipping duration. </w:t>
      </w:r>
    </w:p>
    <w:p w:rsidR="00BA4952" w:rsidRDefault="00C56E6B" w:rsidP="00D23CE0">
      <w:pPr>
        <w:pStyle w:val="YJ-Proposal"/>
        <w:spacing w:before="120" w:after="120"/>
        <w:jc w:val="both"/>
        <w:rPr>
          <w:i w:val="0"/>
          <w:iCs w:val="0"/>
          <w:lang w:val="en-US"/>
        </w:rPr>
      </w:pPr>
      <w:bookmarkStart w:id="27" w:name="_Toc26656"/>
      <w:bookmarkStart w:id="28" w:name="_Toc17771"/>
      <w:bookmarkStart w:id="29" w:name="_Toc17179"/>
      <w:bookmarkStart w:id="30" w:name="_Ref20838"/>
      <w:r>
        <w:rPr>
          <w:i w:val="0"/>
          <w:iCs w:val="0"/>
          <w:sz w:val="21"/>
          <w:szCs w:val="21"/>
          <w:lang w:val="en-US" w:eastAsia="zh-CN"/>
        </w:rPr>
        <w:t xml:space="preserve">UE </w:t>
      </w:r>
      <w:r>
        <w:rPr>
          <w:rFonts w:hint="eastAsia"/>
          <w:i w:val="0"/>
          <w:iCs w:val="0"/>
          <w:lang w:val="en-US"/>
        </w:rPr>
        <w:t>should switch to a default SSSG after the end of PDCCH skipping duration, wherein the default SSSG should be configured by RRC signaling to adapt to various traffic models.</w:t>
      </w:r>
      <w:bookmarkEnd w:id="27"/>
      <w:bookmarkEnd w:id="28"/>
      <w:bookmarkEnd w:id="29"/>
      <w:r>
        <w:rPr>
          <w:rFonts w:hint="eastAsia"/>
          <w:i w:val="0"/>
          <w:iCs w:val="0"/>
          <w:lang w:val="en-US"/>
        </w:rPr>
        <w:t xml:space="preserve"> </w:t>
      </w:r>
      <w:bookmarkEnd w:id="30"/>
    </w:p>
    <w:p w:rsidR="00BA4952" w:rsidRDefault="00C56E6B">
      <w:pPr>
        <w:spacing w:before="120" w:after="120"/>
      </w:pPr>
      <w:r>
        <w:rPr>
          <w:rFonts w:hint="eastAsia"/>
        </w:rPr>
        <w:t>A simple PDCCH adaptation procedure between PDCCH skipping and SSSG monitoring is shown in Figure 2. Herein, two SSSGs (where SSSG0 which has sparse</w:t>
      </w:r>
      <w:r>
        <w:t>r</w:t>
      </w:r>
      <w:r>
        <w:rPr>
          <w:rFonts w:hint="eastAsia"/>
        </w:rPr>
        <w:t xml:space="preserve"> PDCCH monitoring </w:t>
      </w:r>
      <w:r>
        <w:t>occasions</w:t>
      </w:r>
      <w:r>
        <w:rPr>
          <w:rFonts w:hint="eastAsia"/>
        </w:rPr>
        <w:t xml:space="preserve"> is configured as </w:t>
      </w:r>
      <w:r>
        <w:t>the</w:t>
      </w:r>
      <w:r>
        <w:rPr>
          <w:rFonts w:hint="eastAsia"/>
        </w:rPr>
        <w:t xml:space="preserve"> default </w:t>
      </w:r>
      <w:r>
        <w:rPr>
          <w:rFonts w:hint="eastAsia"/>
        </w:rPr>
        <w:lastRenderedPageBreak/>
        <w:t xml:space="preserve">SSSG) and PDCCH skipping with two available skipping duration values are </w:t>
      </w:r>
      <w:r>
        <w:t>considered</w:t>
      </w:r>
      <w:r>
        <w:rPr>
          <w:rFonts w:hint="eastAsia"/>
        </w:rPr>
        <w:t>. The SSSG switching mechanism between two SSSGs in Figure 1 is omitted</w:t>
      </w:r>
      <w:r>
        <w:t xml:space="preserve"> in Figure </w:t>
      </w:r>
      <w:r>
        <w:rPr>
          <w:rFonts w:hint="eastAsia"/>
        </w:rPr>
        <w:t>2. The PDCCH adaptation from SSSG monitoring to PDCCH skipping is triggered by DCI indication or a skip</w:t>
      </w:r>
      <w:r>
        <w:t>ping</w:t>
      </w:r>
      <w:r>
        <w:rPr>
          <w:rFonts w:hint="eastAsia"/>
        </w:rPr>
        <w:t xml:space="preserve"> timer in black lines. The PDCCH adaptation from PDCCH skipping to SSSG monitoring is triggered by the end of skipping duration</w:t>
      </w:r>
      <w:r>
        <w:rPr>
          <w:rFonts w:hint="eastAsia"/>
          <w:color w:val="0000FF"/>
        </w:rPr>
        <w:t xml:space="preserve"> </w:t>
      </w:r>
      <w:r>
        <w:rPr>
          <w:color w:val="0000FF"/>
        </w:rPr>
        <w:t xml:space="preserve">as shown </w:t>
      </w:r>
      <w:r>
        <w:rPr>
          <w:rFonts w:hint="eastAsia"/>
          <w:color w:val="0000FF"/>
        </w:rPr>
        <w:t>in blue lines</w:t>
      </w:r>
      <w:r>
        <w:rPr>
          <w:rFonts w:hint="eastAsia"/>
        </w:rPr>
        <w:t>. The UE sets the skip</w:t>
      </w:r>
      <w:r>
        <w:t>ping</w:t>
      </w:r>
      <w:r>
        <w:rPr>
          <w:rFonts w:hint="eastAsia"/>
        </w:rPr>
        <w:t xml:space="preserve"> timer and falls back to monitor PDCCH according to SSSG0 after the end of PDCCH skipping duration. </w:t>
      </w:r>
    </w:p>
    <w:p w:rsidR="00BA4952" w:rsidRDefault="00C56E6B">
      <w:pPr>
        <w:spacing w:before="120" w:after="120"/>
        <w:jc w:val="center"/>
      </w:pPr>
      <w:r>
        <w:rPr>
          <w:noProof/>
        </w:rPr>
        <w:drawing>
          <wp:inline distT="0" distB="0" distL="114300" distR="114300">
            <wp:extent cx="3434715" cy="1932940"/>
            <wp:effectExtent l="0" t="0" r="13335" b="1016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434715" cy="1932940"/>
                    </a:xfrm>
                    <a:prstGeom prst="rect">
                      <a:avLst/>
                    </a:prstGeom>
                    <a:noFill/>
                    <a:ln>
                      <a:noFill/>
                    </a:ln>
                  </pic:spPr>
                </pic:pic>
              </a:graphicData>
            </a:graphic>
          </wp:inline>
        </w:drawing>
      </w:r>
    </w:p>
    <w:p w:rsidR="00BA4952" w:rsidRDefault="00C56E6B">
      <w:pPr>
        <w:spacing w:before="120" w:after="120"/>
        <w:jc w:val="center"/>
      </w:pPr>
      <w:r>
        <w:rPr>
          <w:rFonts w:hint="eastAsia"/>
        </w:rPr>
        <w:t>Figure 2 PDCCH monitoring adaptation</w:t>
      </w:r>
    </w:p>
    <w:p w:rsidR="00BA4952" w:rsidRDefault="00BA4952">
      <w:pPr>
        <w:spacing w:before="120" w:after="120"/>
        <w:jc w:val="center"/>
      </w:pPr>
    </w:p>
    <w:p w:rsidR="00BA4952" w:rsidRDefault="00C56E6B">
      <w:pPr>
        <w:spacing w:before="120" w:after="120"/>
      </w:pPr>
      <w:r>
        <w:rPr>
          <w:rFonts w:hint="eastAsia"/>
        </w:rPr>
        <w:t xml:space="preserve">When both PDCCH skipping and SSSGs switching are support, to provide a unified bit-field design for PDCCH adaptation among SSSGs and PDCCH skipping, a </w:t>
      </w:r>
      <w:r>
        <w:t>flag</w:t>
      </w:r>
      <w:r>
        <w:rPr>
          <w:rFonts w:hint="eastAsia"/>
        </w:rPr>
        <w:t xml:space="preserve"> field used to </w:t>
      </w:r>
      <w:r>
        <w:t>indicate</w:t>
      </w:r>
      <w:r>
        <w:rPr>
          <w:rFonts w:hint="eastAsia"/>
        </w:rPr>
        <w:t xml:space="preserve"> one of SSSG switching and PDCCH skipping </w:t>
      </w:r>
      <w:r>
        <w:t>can be</w:t>
      </w:r>
      <w:r>
        <w:rPr>
          <w:rFonts w:hint="eastAsia"/>
        </w:rPr>
        <w:t xml:space="preserve"> introduced. Because the UE cannot perform SSSG monitoring and PDCCH skipping at the same time, the SSSG switching indication and PDCCH skipping indication can multiplex one indication field as shown in Figure 3.  </w:t>
      </w:r>
    </w:p>
    <w:p w:rsidR="00BA4952" w:rsidRDefault="00C56E6B">
      <w:pPr>
        <w:spacing w:before="120" w:after="120"/>
        <w:jc w:val="center"/>
      </w:pPr>
      <w:r>
        <w:rPr>
          <w:noProof/>
        </w:rPr>
        <w:drawing>
          <wp:inline distT="0" distB="0" distL="114300" distR="114300">
            <wp:extent cx="2219960" cy="344170"/>
            <wp:effectExtent l="0" t="0" r="8890" b="1778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2219960" cy="344170"/>
                    </a:xfrm>
                    <a:prstGeom prst="rect">
                      <a:avLst/>
                    </a:prstGeom>
                    <a:noFill/>
                    <a:ln>
                      <a:noFill/>
                    </a:ln>
                  </pic:spPr>
                </pic:pic>
              </a:graphicData>
            </a:graphic>
          </wp:inline>
        </w:drawing>
      </w:r>
    </w:p>
    <w:p w:rsidR="00BA4952" w:rsidRDefault="00C56E6B">
      <w:pPr>
        <w:spacing w:before="120" w:after="120"/>
        <w:jc w:val="center"/>
      </w:pPr>
      <w:r>
        <w:rPr>
          <w:rFonts w:hint="eastAsia"/>
        </w:rPr>
        <w:t xml:space="preserve">Figure 3 Example </w:t>
      </w:r>
      <w:r>
        <w:t>of</w:t>
      </w:r>
      <w:r>
        <w:rPr>
          <w:rFonts w:hint="eastAsia"/>
        </w:rPr>
        <w:t xml:space="preserve"> DCI-based PDCCH adaptation indication</w:t>
      </w:r>
    </w:p>
    <w:p w:rsidR="00BA4952" w:rsidRDefault="00BA4952">
      <w:pPr>
        <w:spacing w:before="120" w:after="120"/>
        <w:rPr>
          <w:szCs w:val="21"/>
        </w:rPr>
      </w:pPr>
    </w:p>
    <w:p w:rsidR="00BA4952" w:rsidRDefault="00C56E6B">
      <w:pPr>
        <w:spacing w:before="120" w:after="120"/>
      </w:pPr>
      <w:r>
        <w:rPr>
          <w:rFonts w:hint="eastAsia"/>
        </w:rPr>
        <w:t xml:space="preserve">For example, if the PDCCH skipping is enabled by the 1-bit </w:t>
      </w:r>
      <w:r>
        <w:t>flag</w:t>
      </w:r>
      <w:r>
        <w:rPr>
          <w:rFonts w:hint="eastAsia"/>
        </w:rPr>
        <w:t xml:space="preserve"> field, the bit after the </w:t>
      </w:r>
      <w:r>
        <w:t>flag</w:t>
      </w:r>
      <w:r>
        <w:rPr>
          <w:rFonts w:hint="eastAsia"/>
        </w:rPr>
        <w:t xml:space="preserve"> filed is used to indicate PDCCH skipping for a skipping duration selected from the configured values.</w:t>
      </w:r>
      <w:r>
        <w:rPr>
          <w:rFonts w:hint="eastAsia"/>
          <w:szCs w:val="21"/>
        </w:rPr>
        <w:t xml:space="preserve"> When the </w:t>
      </w:r>
      <w:r>
        <w:rPr>
          <w:rFonts w:hint="eastAsia"/>
        </w:rPr>
        <w:t xml:space="preserve">PDCCH skipping is not enabled by the 1-bit </w:t>
      </w:r>
      <w:r>
        <w:t>flag</w:t>
      </w:r>
      <w:r>
        <w:rPr>
          <w:rFonts w:hint="eastAsia"/>
        </w:rPr>
        <w:t xml:space="preserve"> field, the bit after the </w:t>
      </w:r>
      <w:r>
        <w:t>flag</w:t>
      </w:r>
      <w:r>
        <w:rPr>
          <w:rFonts w:hint="eastAsia"/>
        </w:rPr>
        <w:t xml:space="preserve"> filed is used to indicate SSSG switching. The relationship between the indication bits and the skipping durations can be described as follows. </w:t>
      </w:r>
    </w:p>
    <w:p w:rsidR="00BA4952" w:rsidRDefault="00BA4952">
      <w:pPr>
        <w:spacing w:before="120" w:after="120"/>
      </w:pPr>
    </w:p>
    <w:tbl>
      <w:tblPr>
        <w:tblStyle w:val="ac"/>
        <w:tblW w:w="0" w:type="auto"/>
        <w:jc w:val="center"/>
        <w:tblLook w:val="04A0" w:firstRow="1" w:lastRow="0" w:firstColumn="1" w:lastColumn="0" w:noHBand="0" w:noVBand="1"/>
      </w:tblPr>
      <w:tblGrid>
        <w:gridCol w:w="2501"/>
        <w:gridCol w:w="2826"/>
        <w:gridCol w:w="3511"/>
      </w:tblGrid>
      <w:tr w:rsidR="00BA4952">
        <w:trPr>
          <w:trHeight w:val="376"/>
          <w:jc w:val="center"/>
        </w:trPr>
        <w:tc>
          <w:tcPr>
            <w:tcW w:w="2501" w:type="dxa"/>
            <w:vAlign w:val="center"/>
          </w:tcPr>
          <w:p w:rsidR="00BA4952" w:rsidRDefault="00C56E6B">
            <w:pPr>
              <w:spacing w:beforeLines="0" w:before="0" w:afterLines="0" w:after="0" w:line="288" w:lineRule="auto"/>
              <w:jc w:val="center"/>
              <w:rPr>
                <w:b/>
                <w:bCs/>
              </w:rPr>
            </w:pPr>
            <w:r>
              <w:rPr>
                <w:b/>
                <w:bCs/>
              </w:rPr>
              <w:t xml:space="preserve">Flag </w:t>
            </w:r>
            <w:r>
              <w:rPr>
                <w:rFonts w:hint="eastAsia"/>
                <w:b/>
                <w:bCs/>
              </w:rPr>
              <w:t>bit</w:t>
            </w:r>
          </w:p>
        </w:tc>
        <w:tc>
          <w:tcPr>
            <w:tcW w:w="2826" w:type="dxa"/>
            <w:vAlign w:val="center"/>
          </w:tcPr>
          <w:p w:rsidR="00BA4952" w:rsidRDefault="00C56E6B">
            <w:pPr>
              <w:spacing w:beforeLines="0" w:before="0" w:afterLines="0" w:after="0" w:line="288" w:lineRule="auto"/>
              <w:jc w:val="center"/>
              <w:rPr>
                <w:b/>
                <w:bCs/>
              </w:rPr>
            </w:pPr>
            <w:r>
              <w:rPr>
                <w:rFonts w:hint="eastAsia"/>
                <w:b/>
                <w:bCs/>
              </w:rPr>
              <w:t>Indicator</w:t>
            </w:r>
          </w:p>
        </w:tc>
        <w:tc>
          <w:tcPr>
            <w:tcW w:w="3511" w:type="dxa"/>
            <w:vAlign w:val="center"/>
          </w:tcPr>
          <w:p w:rsidR="00BA4952" w:rsidRDefault="00C56E6B">
            <w:pPr>
              <w:spacing w:beforeLines="0" w:before="0" w:afterLines="0" w:after="0" w:line="288" w:lineRule="auto"/>
              <w:jc w:val="center"/>
              <w:rPr>
                <w:b/>
                <w:bCs/>
              </w:rPr>
            </w:pPr>
            <w:r>
              <w:rPr>
                <w:rFonts w:hint="eastAsia"/>
                <w:b/>
                <w:bCs/>
              </w:rPr>
              <w:t>Operation</w:t>
            </w:r>
          </w:p>
        </w:tc>
      </w:tr>
      <w:tr w:rsidR="00BA4952">
        <w:trPr>
          <w:trHeight w:val="376"/>
          <w:jc w:val="center"/>
        </w:trPr>
        <w:tc>
          <w:tcPr>
            <w:tcW w:w="2501" w:type="dxa"/>
            <w:vMerge w:val="restart"/>
            <w:vAlign w:val="center"/>
          </w:tcPr>
          <w:p w:rsidR="00BA4952" w:rsidRDefault="00C56E6B">
            <w:pPr>
              <w:spacing w:beforeLines="0" w:before="0" w:afterLines="0" w:after="0" w:line="288" w:lineRule="auto"/>
              <w:jc w:val="center"/>
            </w:pPr>
            <w:r>
              <w:rPr>
                <w:rFonts w:hint="eastAsia"/>
              </w:rPr>
              <w:t>0</w:t>
            </w:r>
          </w:p>
        </w:tc>
        <w:tc>
          <w:tcPr>
            <w:tcW w:w="2826" w:type="dxa"/>
            <w:vAlign w:val="center"/>
          </w:tcPr>
          <w:p w:rsidR="00BA4952" w:rsidRDefault="00C56E6B">
            <w:pPr>
              <w:spacing w:beforeLines="0" w:before="0" w:afterLines="0" w:after="0" w:line="288" w:lineRule="auto"/>
              <w:jc w:val="center"/>
            </w:pPr>
            <w:r>
              <w:rPr>
                <w:rFonts w:hint="eastAsia"/>
              </w:rPr>
              <w:t>0</w:t>
            </w:r>
          </w:p>
        </w:tc>
        <w:tc>
          <w:tcPr>
            <w:tcW w:w="3511" w:type="dxa"/>
            <w:vAlign w:val="center"/>
          </w:tcPr>
          <w:p w:rsidR="00BA4952" w:rsidRDefault="00C56E6B">
            <w:pPr>
              <w:spacing w:beforeLines="0" w:before="0" w:afterLines="0" w:after="0" w:line="288" w:lineRule="auto"/>
              <w:jc w:val="center"/>
            </w:pPr>
            <w:r>
              <w:rPr>
                <w:rFonts w:hint="eastAsia"/>
              </w:rPr>
              <w:t>SSSG 0</w:t>
            </w:r>
          </w:p>
        </w:tc>
      </w:tr>
      <w:tr w:rsidR="00BA4952">
        <w:trPr>
          <w:trHeight w:val="376"/>
          <w:jc w:val="center"/>
        </w:trPr>
        <w:tc>
          <w:tcPr>
            <w:tcW w:w="2501" w:type="dxa"/>
            <w:vMerge/>
            <w:vAlign w:val="center"/>
          </w:tcPr>
          <w:p w:rsidR="00BA4952" w:rsidRDefault="00BA4952">
            <w:pPr>
              <w:spacing w:beforeLines="0" w:before="0" w:afterLines="0" w:after="0" w:line="288" w:lineRule="auto"/>
              <w:jc w:val="center"/>
            </w:pPr>
          </w:p>
        </w:tc>
        <w:tc>
          <w:tcPr>
            <w:tcW w:w="2826" w:type="dxa"/>
            <w:vAlign w:val="center"/>
          </w:tcPr>
          <w:p w:rsidR="00BA4952" w:rsidRDefault="00C56E6B">
            <w:pPr>
              <w:spacing w:beforeLines="0" w:before="0" w:afterLines="0" w:after="0" w:line="288" w:lineRule="auto"/>
              <w:jc w:val="center"/>
            </w:pPr>
            <w:r>
              <w:rPr>
                <w:rFonts w:hint="eastAsia"/>
              </w:rPr>
              <w:t>1</w:t>
            </w:r>
          </w:p>
        </w:tc>
        <w:tc>
          <w:tcPr>
            <w:tcW w:w="3511" w:type="dxa"/>
            <w:vAlign w:val="center"/>
          </w:tcPr>
          <w:p w:rsidR="00BA4952" w:rsidRDefault="00C56E6B">
            <w:pPr>
              <w:spacing w:beforeLines="0" w:before="0" w:afterLines="0" w:after="0" w:line="288" w:lineRule="auto"/>
              <w:jc w:val="center"/>
            </w:pPr>
            <w:r>
              <w:rPr>
                <w:rFonts w:hint="eastAsia"/>
              </w:rPr>
              <w:t>SSSG 1</w:t>
            </w:r>
          </w:p>
        </w:tc>
      </w:tr>
      <w:tr w:rsidR="00BA4952">
        <w:trPr>
          <w:trHeight w:val="376"/>
          <w:jc w:val="center"/>
        </w:trPr>
        <w:tc>
          <w:tcPr>
            <w:tcW w:w="2501" w:type="dxa"/>
            <w:vMerge w:val="restart"/>
            <w:vAlign w:val="center"/>
          </w:tcPr>
          <w:p w:rsidR="00BA4952" w:rsidRDefault="00C56E6B">
            <w:pPr>
              <w:spacing w:beforeLines="0" w:before="0" w:afterLines="0" w:after="0" w:line="288" w:lineRule="auto"/>
              <w:jc w:val="center"/>
            </w:pPr>
            <w:r>
              <w:rPr>
                <w:rFonts w:hint="eastAsia"/>
              </w:rPr>
              <w:t>1</w:t>
            </w:r>
          </w:p>
        </w:tc>
        <w:tc>
          <w:tcPr>
            <w:tcW w:w="2826" w:type="dxa"/>
            <w:vAlign w:val="center"/>
          </w:tcPr>
          <w:p w:rsidR="00BA4952" w:rsidRDefault="00C56E6B">
            <w:pPr>
              <w:spacing w:beforeLines="0" w:before="0" w:afterLines="0" w:after="0" w:line="288" w:lineRule="auto"/>
              <w:jc w:val="center"/>
            </w:pPr>
            <w:r>
              <w:rPr>
                <w:rFonts w:hint="eastAsia"/>
              </w:rPr>
              <w:t>0</w:t>
            </w:r>
          </w:p>
        </w:tc>
        <w:tc>
          <w:tcPr>
            <w:tcW w:w="3511" w:type="dxa"/>
            <w:vAlign w:val="center"/>
          </w:tcPr>
          <w:p w:rsidR="00BA4952" w:rsidRDefault="00C56E6B">
            <w:pPr>
              <w:spacing w:beforeLines="0" w:before="0" w:afterLines="0" w:after="0" w:line="288" w:lineRule="auto"/>
              <w:jc w:val="center"/>
            </w:pPr>
            <w:r>
              <w:rPr>
                <w:rFonts w:hint="eastAsia"/>
              </w:rPr>
              <w:t>Beh 1</w:t>
            </w:r>
          </w:p>
        </w:tc>
      </w:tr>
      <w:tr w:rsidR="00BA4952">
        <w:trPr>
          <w:trHeight w:val="399"/>
          <w:jc w:val="center"/>
        </w:trPr>
        <w:tc>
          <w:tcPr>
            <w:tcW w:w="2501" w:type="dxa"/>
            <w:vMerge/>
            <w:vAlign w:val="center"/>
          </w:tcPr>
          <w:p w:rsidR="00BA4952" w:rsidRDefault="00BA4952">
            <w:pPr>
              <w:spacing w:beforeLines="0" w:before="0" w:afterLines="0" w:after="0" w:line="288" w:lineRule="auto"/>
              <w:jc w:val="center"/>
            </w:pPr>
          </w:p>
        </w:tc>
        <w:tc>
          <w:tcPr>
            <w:tcW w:w="2826" w:type="dxa"/>
            <w:vAlign w:val="center"/>
          </w:tcPr>
          <w:p w:rsidR="00BA4952" w:rsidRDefault="00C56E6B">
            <w:pPr>
              <w:spacing w:beforeLines="0" w:before="0" w:afterLines="0" w:after="0" w:line="288" w:lineRule="auto"/>
              <w:jc w:val="center"/>
            </w:pPr>
            <w:r>
              <w:rPr>
                <w:rFonts w:hint="eastAsia"/>
              </w:rPr>
              <w:t>1</w:t>
            </w:r>
          </w:p>
        </w:tc>
        <w:tc>
          <w:tcPr>
            <w:tcW w:w="3511" w:type="dxa"/>
            <w:vAlign w:val="center"/>
          </w:tcPr>
          <w:p w:rsidR="00BA4952" w:rsidRDefault="00C56E6B">
            <w:pPr>
              <w:spacing w:beforeLines="0" w:before="0" w:afterLines="0" w:after="0" w:line="288" w:lineRule="auto"/>
              <w:jc w:val="center"/>
            </w:pPr>
            <w:r>
              <w:rPr>
                <w:rFonts w:hint="eastAsia"/>
              </w:rPr>
              <w:t>Skipping duration 1</w:t>
            </w:r>
          </w:p>
        </w:tc>
      </w:tr>
    </w:tbl>
    <w:p w:rsidR="00BA4952" w:rsidRDefault="00BA4952">
      <w:pPr>
        <w:spacing w:before="120" w:after="120"/>
      </w:pPr>
    </w:p>
    <w:p w:rsidR="00BA4952" w:rsidRDefault="00C56E6B">
      <w:pPr>
        <w:pStyle w:val="YJ-Proposal"/>
        <w:spacing w:before="120" w:after="120"/>
        <w:rPr>
          <w:i w:val="0"/>
          <w:iCs w:val="0"/>
          <w:lang w:val="en-US" w:eastAsia="zh-CN"/>
        </w:rPr>
      </w:pPr>
      <w:bookmarkStart w:id="31" w:name="_Toc1153"/>
      <w:bookmarkStart w:id="32" w:name="_Toc9088"/>
      <w:r>
        <w:rPr>
          <w:rFonts w:hint="eastAsia"/>
          <w:i w:val="0"/>
          <w:iCs w:val="0"/>
          <w:lang w:val="en-US" w:eastAsia="zh-CN"/>
        </w:rPr>
        <w:lastRenderedPageBreak/>
        <w:t xml:space="preserve">A </w:t>
      </w:r>
      <w:r>
        <w:rPr>
          <w:i w:val="0"/>
        </w:rPr>
        <w:t>flag</w:t>
      </w:r>
      <w:r>
        <w:rPr>
          <w:rFonts w:hint="eastAsia"/>
          <w:i w:val="0"/>
        </w:rPr>
        <w:t xml:space="preserve"> </w:t>
      </w:r>
      <w:r>
        <w:rPr>
          <w:rFonts w:hint="eastAsia"/>
          <w:i w:val="0"/>
          <w:iCs w:val="0"/>
          <w:lang w:val="en-US" w:eastAsia="zh-CN"/>
        </w:rPr>
        <w:t>field used to enable one of the indication information of SSSG switching and PDCCH skipping can be introduced.</w:t>
      </w:r>
      <w:bookmarkEnd w:id="31"/>
      <w:bookmarkEnd w:id="32"/>
    </w:p>
    <w:p w:rsidR="00BA4952" w:rsidRDefault="00BA4952">
      <w:pPr>
        <w:spacing w:before="120" w:after="120"/>
        <w:rPr>
          <w:szCs w:val="21"/>
        </w:rPr>
      </w:pPr>
    </w:p>
    <w:p w:rsidR="00BA4952" w:rsidRDefault="00C56E6B">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Impact on new transmission and retransmission</w:t>
      </w:r>
    </w:p>
    <w:p w:rsidR="00BA4952" w:rsidRDefault="00C56E6B">
      <w:pPr>
        <w:spacing w:before="120" w:after="120"/>
      </w:pPr>
      <w:r>
        <w:rPr>
          <w:rFonts w:hint="eastAsia"/>
        </w:rPr>
        <w:t xml:space="preserve">Some </w:t>
      </w:r>
      <w:r>
        <w:rPr>
          <w:rFonts w:hint="eastAsia"/>
        </w:rPr>
        <w:t xml:space="preserve">potential solutions to minimize </w:t>
      </w:r>
      <w:r w:rsidRPr="00EB3ED9">
        <w:t xml:space="preserve">the impact on data scheduling for new transmissions and retransmissions are discussed as follows in RAN1#105-e meeting </w:t>
      </w:r>
      <w:r w:rsidRPr="00D23CE0">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A4952">
        <w:tc>
          <w:tcPr>
            <w:tcW w:w="9855" w:type="dxa"/>
          </w:tcPr>
          <w:p w:rsidR="00BA4952" w:rsidRDefault="00C56E6B">
            <w:pPr>
              <w:spacing w:beforeLines="0" w:before="0" w:afterLines="0" w:after="0"/>
            </w:pPr>
            <w:r>
              <w:rPr>
                <w:rFonts w:hint="eastAsia"/>
              </w:rPr>
              <w:t xml:space="preserve">After being indicated to skipping PDCCH monitoring and/or switched </w:t>
            </w:r>
            <w:r>
              <w:t>to ‘dormant’/’empty’ SSSG, the UE still performs PDCCH monitoring for HARQ retransmission at least during a ‘retransmission period’</w:t>
            </w:r>
            <w:r>
              <w:rPr>
                <w:rFonts w:hint="eastAsia"/>
              </w:rPr>
              <w:t>.</w:t>
            </w:r>
          </w:p>
          <w:p w:rsidR="00BA4952" w:rsidRDefault="00C56E6B">
            <w:pPr>
              <w:numPr>
                <w:ilvl w:val="0"/>
                <w:numId w:val="12"/>
              </w:numPr>
              <w:spacing w:beforeLines="0" w:before="0" w:afterLines="0" w:after="0"/>
            </w:pPr>
            <w:r>
              <w:rPr>
                <w:rFonts w:hint="eastAsia"/>
              </w:rPr>
              <w:t>FFS How to enable PDCCH monitoring during the retransmission period</w:t>
            </w:r>
          </w:p>
          <w:p w:rsidR="00BA4952" w:rsidRDefault="00C56E6B">
            <w:pPr>
              <w:numPr>
                <w:ilvl w:val="1"/>
                <w:numId w:val="13"/>
              </w:numPr>
              <w:spacing w:beforeLines="0" w:before="0" w:afterLines="0" w:after="0"/>
            </w:pPr>
            <w:r>
              <w:rPr>
                <w:rFonts w:hint="eastAsia"/>
              </w:rPr>
              <w:t>UE switch to another SSSG, e.g., default SSSG or a SSSG specially configured only for retransmission period.</w:t>
            </w:r>
          </w:p>
          <w:p w:rsidR="00BA4952" w:rsidRDefault="00C56E6B">
            <w:pPr>
              <w:numPr>
                <w:ilvl w:val="1"/>
                <w:numId w:val="13"/>
              </w:numPr>
              <w:spacing w:beforeLines="0" w:before="0" w:afterLines="0" w:after="0"/>
            </w:pPr>
            <w:r>
              <w:rPr>
                <w:rFonts w:hint="eastAsia"/>
              </w:rPr>
              <w:t>UE suspends or stops PDCCH skipping.</w:t>
            </w:r>
          </w:p>
          <w:p w:rsidR="00BA4952" w:rsidRDefault="00C56E6B">
            <w:pPr>
              <w:numPr>
                <w:ilvl w:val="1"/>
                <w:numId w:val="13"/>
              </w:numPr>
              <w:spacing w:beforeLines="0" w:before="0" w:afterLines="0" w:after="0"/>
            </w:pPr>
            <w:r>
              <w:rPr>
                <w:rFonts w:hint="eastAsia"/>
              </w:rPr>
              <w:t>Others not precluded</w:t>
            </w:r>
          </w:p>
          <w:p w:rsidR="00BA4952" w:rsidRDefault="00C56E6B">
            <w:pPr>
              <w:numPr>
                <w:ilvl w:val="0"/>
                <w:numId w:val="12"/>
              </w:numPr>
              <w:spacing w:beforeLines="0" w:before="0" w:afterLines="0" w:after="0"/>
            </w:pPr>
            <w:r>
              <w:rPr>
                <w:rFonts w:hint="eastAsia"/>
              </w:rPr>
              <w:t xml:space="preserve">FFS </w:t>
            </w:r>
            <w:r>
              <w:t xml:space="preserve">‘retransmission period’ </w:t>
            </w:r>
          </w:p>
          <w:p w:rsidR="00BA4952" w:rsidRDefault="00C56E6B">
            <w:pPr>
              <w:numPr>
                <w:ilvl w:val="1"/>
                <w:numId w:val="13"/>
              </w:numPr>
              <w:spacing w:beforeLines="0" w:before="0" w:afterLines="0" w:after="0"/>
            </w:pPr>
            <w:r>
              <w:t>Alt 1: When triggered by DL DCI, the start and end of ‘retransmission period’ is defined as HARQ-ACK condition is satisfied</w:t>
            </w:r>
          </w:p>
          <w:p w:rsidR="00BA4952" w:rsidRDefault="00C56E6B">
            <w:pPr>
              <w:numPr>
                <w:ilvl w:val="2"/>
                <w:numId w:val="13"/>
              </w:numPr>
              <w:spacing w:beforeLines="0" w:before="0" w:afterLines="0" w:after="0"/>
            </w:pPr>
            <w:r>
              <w:t>FFS HARQ-ACK condition</w:t>
            </w:r>
          </w:p>
          <w:p w:rsidR="00BA4952" w:rsidRDefault="00C56E6B">
            <w:pPr>
              <w:numPr>
                <w:ilvl w:val="1"/>
                <w:numId w:val="13"/>
              </w:numPr>
              <w:spacing w:beforeLines="0" w:before="0" w:afterLines="0" w:after="0"/>
            </w:pPr>
            <w:r>
              <w:rPr>
                <w:rFonts w:hint="eastAsia"/>
              </w:rPr>
              <w:t>Alt 2-1: the start and e</w:t>
            </w:r>
            <w:r>
              <w:t>nd of ‘retransmission period’ is defined as the start of drx-RetransmissionTimerDL(UL) and expiration of drx-RetransmissionTimerDL(UL) respectively</w:t>
            </w:r>
          </w:p>
          <w:p w:rsidR="00BA4952" w:rsidRDefault="00C56E6B">
            <w:pPr>
              <w:numPr>
                <w:ilvl w:val="1"/>
                <w:numId w:val="13"/>
              </w:numPr>
              <w:spacing w:beforeLines="0" w:before="0" w:afterLines="0" w:after="0"/>
            </w:pPr>
            <w:r>
              <w:t>Alt 2-2, i.e. the duration of the running of drx-RetransmissionTimerDL(UL) during the indicated PDCCH skipping period can be supported.</w:t>
            </w:r>
          </w:p>
          <w:p w:rsidR="00BA4952" w:rsidRDefault="00C56E6B">
            <w:pPr>
              <w:numPr>
                <w:ilvl w:val="1"/>
                <w:numId w:val="13"/>
              </w:numPr>
              <w:spacing w:beforeLines="0" w:before="0" w:afterLines="0" w:after="0"/>
            </w:pPr>
            <w:r>
              <w:rPr>
                <w:rFonts w:hint="eastAsia"/>
              </w:rPr>
              <w:t>others not precluded</w:t>
            </w:r>
          </w:p>
        </w:tc>
      </w:tr>
    </w:tbl>
    <w:p w:rsidR="00BA4952" w:rsidRDefault="00BA4952">
      <w:pPr>
        <w:spacing w:before="120" w:after="120"/>
      </w:pPr>
    </w:p>
    <w:p w:rsidR="00BA4952" w:rsidRDefault="00C56E6B">
      <w:pPr>
        <w:spacing w:before="120" w:after="120"/>
      </w:pPr>
      <w:r>
        <w:rPr>
          <w:rFonts w:hint="eastAsia"/>
        </w:rPr>
        <w:t xml:space="preserve">It is obvious that if a larger delay window due to HARQ-ACK feedback is imposed on the UE or the UE </w:t>
      </w:r>
      <w:r>
        <w:t xml:space="preserve">is only allowed to </w:t>
      </w:r>
      <w:r>
        <w:rPr>
          <w:rFonts w:hint="eastAsia"/>
        </w:rPr>
        <w:t xml:space="preserve">perform PDCCH adaptation after </w:t>
      </w:r>
      <w:r>
        <w:t xml:space="preserve">the </w:t>
      </w:r>
      <w:r>
        <w:rPr>
          <w:rFonts w:hint="eastAsia"/>
        </w:rPr>
        <w:t>data</w:t>
      </w:r>
      <w:r>
        <w:t xml:space="preserve"> of all the HARQ process </w:t>
      </w:r>
      <w:r>
        <w:rPr>
          <w:rFonts w:hint="eastAsia"/>
        </w:rPr>
        <w:t>are received successfully, it will</w:t>
      </w:r>
      <w:r>
        <w:t xml:space="preserve"> degrade the UE power saving </w:t>
      </w:r>
      <w:r>
        <w:rPr>
          <w:rFonts w:hint="eastAsia"/>
        </w:rPr>
        <w:t xml:space="preserve">gain. </w:t>
      </w:r>
      <w:r>
        <w:t>On the contrary</w:t>
      </w:r>
      <w:r>
        <w:rPr>
          <w:rFonts w:hint="eastAsia"/>
        </w:rPr>
        <w:t xml:space="preserve">, if the UE does not monitor the </w:t>
      </w:r>
      <w:r>
        <w:rPr>
          <w:rFonts w:hint="eastAsia"/>
        </w:rPr>
        <w:t>PDCCH scheduling retransmission data</w:t>
      </w:r>
      <w:r>
        <w:t xml:space="preserve"> during skipping </w:t>
      </w:r>
      <w:r>
        <w:rPr>
          <w:rFonts w:hint="eastAsia"/>
        </w:rPr>
        <w:t>duration, the latency for the retransmission data may increase significantly. Therefore, as shown in Figure 4, the UE should be allowed to monitor PDCCH scheduling retransmission data</w:t>
      </w:r>
      <w:r>
        <w:t xml:space="preserve"> during the PDCCH skipping period</w:t>
      </w:r>
      <w:r>
        <w:rPr>
          <w:rFonts w:hint="eastAsia"/>
        </w:rPr>
        <w:t xml:space="preserve"> to handle the retransmission data. </w:t>
      </w:r>
      <w:r>
        <w:t>To serve the purpose of reducing UE power consumption,</w:t>
      </w:r>
      <w:r>
        <w:rPr>
          <w:rFonts w:hint="eastAsia"/>
        </w:rPr>
        <w:t xml:space="preserve"> the UE does not need to monitor PDCCH scheduling a</w:t>
      </w:r>
      <w:r>
        <w:t>n</w:t>
      </w:r>
      <w:r>
        <w:rPr>
          <w:rFonts w:hint="eastAsia"/>
        </w:rPr>
        <w:t xml:space="preserve"> initial-transmission data during the PDCCH skipping period. When DRX is configured, the duration for monitoring PDCCH scheduling retransmission data (no initial transmission) can be determined by the</w:t>
      </w:r>
      <w:r>
        <w:t xml:space="preserve"> </w:t>
      </w:r>
      <w:r>
        <w:rPr>
          <w:i/>
          <w:lang w:eastAsia="ko-KR"/>
        </w:rPr>
        <w:t>drx-RetransmissionTimerDL</w:t>
      </w:r>
      <w:r>
        <w:rPr>
          <w:iCs/>
        </w:rPr>
        <w:t xml:space="preserve"> and </w:t>
      </w:r>
      <w:r>
        <w:rPr>
          <w:i/>
          <w:lang w:eastAsia="ko-KR"/>
        </w:rPr>
        <w:t>drx-RetransmissionTimerDL</w:t>
      </w:r>
      <w:r>
        <w:rPr>
          <w:rFonts w:hint="eastAsia"/>
        </w:rPr>
        <w:t xml:space="preserve">. </w:t>
      </w:r>
    </w:p>
    <w:p w:rsidR="00BA4952" w:rsidRDefault="00C56E6B">
      <w:pPr>
        <w:spacing w:before="120" w:after="120"/>
        <w:jc w:val="center"/>
      </w:pPr>
      <w:r>
        <w:rPr>
          <w:noProof/>
        </w:rPr>
        <w:drawing>
          <wp:inline distT="0" distB="0" distL="114300" distR="114300">
            <wp:extent cx="4852670" cy="1080135"/>
            <wp:effectExtent l="0" t="0" r="508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4852670" cy="1080135"/>
                    </a:xfrm>
                    <a:prstGeom prst="rect">
                      <a:avLst/>
                    </a:prstGeom>
                    <a:noFill/>
                    <a:ln>
                      <a:noFill/>
                    </a:ln>
                  </pic:spPr>
                </pic:pic>
              </a:graphicData>
            </a:graphic>
          </wp:inline>
        </w:drawing>
      </w:r>
    </w:p>
    <w:p w:rsidR="00BA4952" w:rsidRDefault="00C56E6B">
      <w:pPr>
        <w:spacing w:before="120" w:after="120"/>
        <w:jc w:val="center"/>
      </w:pPr>
      <w:r>
        <w:rPr>
          <w:rFonts w:hint="eastAsia"/>
        </w:rPr>
        <w:t>Figure 4 PDCCH scheduling retransmission data during PDCCH skipping period</w:t>
      </w:r>
    </w:p>
    <w:p w:rsidR="00BA4952" w:rsidRDefault="00BA4952">
      <w:pPr>
        <w:spacing w:before="120" w:after="120"/>
        <w:jc w:val="center"/>
      </w:pPr>
    </w:p>
    <w:p w:rsidR="00BA4952" w:rsidRDefault="00C56E6B">
      <w:pPr>
        <w:pStyle w:val="YJ-Proposal"/>
        <w:spacing w:before="120" w:after="120"/>
        <w:rPr>
          <w:lang w:val="en-US"/>
        </w:rPr>
      </w:pPr>
      <w:bookmarkStart w:id="33" w:name="_Ref20848"/>
      <w:bookmarkStart w:id="34" w:name="_Toc662"/>
      <w:bookmarkStart w:id="35" w:name="_Toc347"/>
      <w:bookmarkStart w:id="36" w:name="_Toc14468"/>
      <w:bookmarkStart w:id="37" w:name="_Toc13283"/>
      <w:bookmarkStart w:id="38" w:name="_Toc26725"/>
      <w:bookmarkStart w:id="39" w:name="_Toc13553"/>
      <w:bookmarkStart w:id="40" w:name="_Toc15746"/>
      <w:r>
        <w:rPr>
          <w:i w:val="0"/>
          <w:iCs w:val="0"/>
          <w:sz w:val="21"/>
          <w:szCs w:val="21"/>
          <w:lang w:val="en-US" w:eastAsia="zh-CN"/>
        </w:rPr>
        <w:t xml:space="preserve">The </w:t>
      </w:r>
      <w:r>
        <w:rPr>
          <w:rFonts w:hint="eastAsia"/>
          <w:i w:val="0"/>
          <w:iCs w:val="0"/>
          <w:lang w:val="en-US"/>
        </w:rPr>
        <w:t>UE should monitor PDCCH for retransmission data, but it does not monitor PDCCH for an initial transmission data during the PDCCH skipping period.</w:t>
      </w:r>
      <w:bookmarkEnd w:id="33"/>
      <w:bookmarkEnd w:id="34"/>
      <w:bookmarkEnd w:id="35"/>
      <w:bookmarkEnd w:id="36"/>
      <w:bookmarkEnd w:id="37"/>
      <w:bookmarkEnd w:id="38"/>
      <w:bookmarkEnd w:id="39"/>
      <w:bookmarkEnd w:id="40"/>
    </w:p>
    <w:p w:rsidR="00BA4952" w:rsidRDefault="00C56E6B">
      <w:pPr>
        <w:spacing w:before="120" w:after="120"/>
      </w:pPr>
      <w:r>
        <w:rPr>
          <w:rFonts w:hint="eastAsia"/>
        </w:rPr>
        <w:lastRenderedPageBreak/>
        <w:t xml:space="preserve">Except for the cases </w:t>
      </w:r>
      <w:r>
        <w:t>of data</w:t>
      </w:r>
      <w:r>
        <w:rPr>
          <w:rFonts w:hint="eastAsia"/>
        </w:rPr>
        <w:t xml:space="preserve"> retransmission, other events, e.g. scheduling request (SR) indicated by the UE </w:t>
      </w:r>
      <w:r>
        <w:t xml:space="preserve">is </w:t>
      </w:r>
      <w:r>
        <w:rPr>
          <w:rFonts w:hint="eastAsia"/>
        </w:rPr>
        <w:t xml:space="preserve">in pending state, beam failure detection, or random access procedure in RRC connected mode due to out-of sync, should be </w:t>
      </w:r>
      <w:r>
        <w:rPr>
          <w:rFonts w:hint="eastAsia"/>
        </w:rPr>
        <w:t xml:space="preserve">considered. According to the above analysis, we think that if these events during a skipping duration occur, the UE should monitor PDCCH </w:t>
      </w:r>
      <w:r>
        <w:t xml:space="preserve">in response </w:t>
      </w:r>
      <w:r>
        <w:rPr>
          <w:rFonts w:hint="eastAsia"/>
        </w:rPr>
        <w:t xml:space="preserve">to these events according to all of search space sets configured in the DL active BWP or search space sets in a default SSSG. </w:t>
      </w:r>
    </w:p>
    <w:p w:rsidR="00BA4952" w:rsidRDefault="00C56E6B" w:rsidP="00D23CE0">
      <w:pPr>
        <w:pStyle w:val="YJ-Proposal"/>
        <w:spacing w:before="120" w:after="120"/>
        <w:jc w:val="both"/>
        <w:rPr>
          <w:lang w:val="en-US"/>
        </w:rPr>
      </w:pPr>
      <w:bookmarkStart w:id="41" w:name="_Ref20854"/>
      <w:bookmarkStart w:id="42" w:name="_Toc2435"/>
      <w:bookmarkStart w:id="43" w:name="_Toc28376"/>
      <w:bookmarkStart w:id="44" w:name="_Toc7744"/>
      <w:bookmarkStart w:id="45" w:name="_Toc26227"/>
      <w:bookmarkStart w:id="46" w:name="_Toc7594"/>
      <w:bookmarkStart w:id="47" w:name="_Toc32251"/>
      <w:bookmarkStart w:id="48" w:name="_Toc10844"/>
      <w:r>
        <w:rPr>
          <w:rFonts w:hint="eastAsia"/>
          <w:i w:val="0"/>
          <w:iCs w:val="0"/>
          <w:lang w:val="en-US"/>
        </w:rPr>
        <w:t>The UE should monitor PDCCH according to all of search space sets configured in the DL active BWP or search space sets in a default SSSG when the following events occur during a skipping duration.</w:t>
      </w:r>
      <w:bookmarkEnd w:id="41"/>
      <w:bookmarkEnd w:id="42"/>
      <w:bookmarkEnd w:id="43"/>
      <w:bookmarkEnd w:id="44"/>
      <w:bookmarkEnd w:id="45"/>
      <w:bookmarkEnd w:id="46"/>
      <w:bookmarkEnd w:id="47"/>
      <w:bookmarkEnd w:id="48"/>
    </w:p>
    <w:p w:rsidR="00BA4952" w:rsidRDefault="00C56E6B" w:rsidP="00D23CE0">
      <w:pPr>
        <w:pStyle w:val="sub-proposal"/>
        <w:spacing w:before="120" w:after="120" w:line="240" w:lineRule="auto"/>
        <w:ind w:left="822" w:hanging="402"/>
        <w:jc w:val="both"/>
        <w:rPr>
          <w:i w:val="0"/>
          <w:iCs w:val="0"/>
          <w:lang w:val="en-US"/>
        </w:rPr>
      </w:pPr>
      <w:bookmarkStart w:id="49" w:name="_Toc21927"/>
      <w:bookmarkStart w:id="50" w:name="_Toc27073"/>
      <w:bookmarkStart w:id="51" w:name="_Toc23885"/>
      <w:bookmarkStart w:id="52" w:name="_Toc27006"/>
      <w:bookmarkStart w:id="53" w:name="_Toc11744"/>
      <w:r>
        <w:rPr>
          <w:rFonts w:hint="eastAsia"/>
          <w:i w:val="0"/>
          <w:iCs w:val="0"/>
          <w:lang w:val="en-US"/>
        </w:rPr>
        <w:t xml:space="preserve">SR </w:t>
      </w:r>
      <w:r>
        <w:rPr>
          <w:rFonts w:hint="eastAsia"/>
          <w:i w:val="0"/>
          <w:iCs w:val="0"/>
          <w:lang w:val="en-US" w:eastAsia="zh-CN"/>
        </w:rPr>
        <w:t xml:space="preserve">indicated </w:t>
      </w:r>
      <w:r>
        <w:rPr>
          <w:rFonts w:hint="eastAsia"/>
          <w:i w:val="0"/>
          <w:iCs w:val="0"/>
          <w:lang w:val="en-US"/>
        </w:rPr>
        <w:t>by the UE,</w:t>
      </w:r>
      <w:bookmarkEnd w:id="49"/>
      <w:bookmarkEnd w:id="50"/>
      <w:bookmarkEnd w:id="51"/>
      <w:bookmarkEnd w:id="52"/>
      <w:bookmarkEnd w:id="53"/>
    </w:p>
    <w:p w:rsidR="00BA4952" w:rsidRDefault="00C56E6B" w:rsidP="00D23CE0">
      <w:pPr>
        <w:pStyle w:val="sub-proposal"/>
        <w:spacing w:before="120" w:after="120" w:line="240" w:lineRule="auto"/>
        <w:ind w:left="822" w:hanging="402"/>
        <w:jc w:val="both"/>
        <w:rPr>
          <w:i w:val="0"/>
          <w:iCs w:val="0"/>
          <w:lang w:val="en-US" w:eastAsia="zh-CN"/>
        </w:rPr>
      </w:pPr>
      <w:bookmarkStart w:id="54" w:name="_Toc29169"/>
      <w:bookmarkStart w:id="55" w:name="_Toc26506"/>
      <w:bookmarkStart w:id="56" w:name="_Toc15101"/>
      <w:bookmarkStart w:id="57" w:name="_Toc4606"/>
      <w:bookmarkStart w:id="58" w:name="_Toc5387"/>
      <w:r>
        <w:rPr>
          <w:rFonts w:hint="eastAsia"/>
          <w:i w:val="0"/>
          <w:iCs w:val="0"/>
          <w:lang w:val="en-US"/>
        </w:rPr>
        <w:t xml:space="preserve">beam </w:t>
      </w:r>
      <w:r>
        <w:rPr>
          <w:rFonts w:hint="eastAsia"/>
          <w:i w:val="0"/>
          <w:iCs w:val="0"/>
          <w:lang w:val="en-US" w:eastAsia="zh-CN"/>
        </w:rPr>
        <w:t>failure detection, or</w:t>
      </w:r>
      <w:bookmarkEnd w:id="54"/>
      <w:bookmarkEnd w:id="55"/>
      <w:bookmarkEnd w:id="56"/>
      <w:bookmarkEnd w:id="57"/>
      <w:bookmarkEnd w:id="58"/>
      <w:r>
        <w:rPr>
          <w:rFonts w:hint="eastAsia"/>
          <w:i w:val="0"/>
          <w:iCs w:val="0"/>
          <w:lang w:val="en-US" w:eastAsia="zh-CN"/>
        </w:rPr>
        <w:t xml:space="preserve"> </w:t>
      </w:r>
    </w:p>
    <w:p w:rsidR="00BA4952" w:rsidRDefault="00C56E6B" w:rsidP="00D23CE0">
      <w:pPr>
        <w:pStyle w:val="sub-proposal"/>
        <w:spacing w:before="120" w:after="120" w:line="240" w:lineRule="auto"/>
        <w:ind w:left="822" w:hanging="402"/>
        <w:jc w:val="both"/>
        <w:rPr>
          <w:i w:val="0"/>
          <w:iCs w:val="0"/>
          <w:lang w:val="en-US"/>
        </w:rPr>
      </w:pPr>
      <w:bookmarkStart w:id="59" w:name="_Toc22158"/>
      <w:bookmarkStart w:id="60" w:name="_Toc3329"/>
      <w:bookmarkStart w:id="61" w:name="_Toc23376"/>
      <w:bookmarkStart w:id="62" w:name="_Toc23191"/>
      <w:bookmarkStart w:id="63" w:name="_Toc23189"/>
      <w:r>
        <w:rPr>
          <w:rFonts w:hint="eastAsia"/>
          <w:i w:val="0"/>
          <w:iCs w:val="0"/>
          <w:lang w:val="en-US" w:eastAsia="zh-CN"/>
        </w:rPr>
        <w:t>random access p</w:t>
      </w:r>
      <w:r>
        <w:rPr>
          <w:rFonts w:hint="eastAsia"/>
          <w:i w:val="0"/>
          <w:iCs w:val="0"/>
          <w:lang w:val="en-US"/>
        </w:rPr>
        <w:t>rocedure in RRC connected mode due to out-of sync, etc.</w:t>
      </w:r>
      <w:bookmarkEnd w:id="59"/>
      <w:bookmarkEnd w:id="60"/>
      <w:bookmarkEnd w:id="61"/>
      <w:bookmarkEnd w:id="62"/>
      <w:bookmarkEnd w:id="63"/>
      <w:r>
        <w:rPr>
          <w:rFonts w:hint="eastAsia"/>
          <w:i w:val="0"/>
          <w:iCs w:val="0"/>
          <w:lang w:val="en-US"/>
        </w:rPr>
        <w:t xml:space="preserve"> </w:t>
      </w:r>
    </w:p>
    <w:p w:rsidR="00BA4952" w:rsidRDefault="00BA4952">
      <w:pPr>
        <w:numPr>
          <w:ilvl w:val="255"/>
          <w:numId w:val="0"/>
        </w:numPr>
        <w:spacing w:before="120" w:after="120" w:line="240" w:lineRule="auto"/>
      </w:pPr>
    </w:p>
    <w:p w:rsidR="00BA4952" w:rsidRDefault="00C56E6B">
      <w:pPr>
        <w:keepNext/>
        <w:keepLines/>
        <w:numPr>
          <w:ilvl w:val="0"/>
          <w:numId w:val="1"/>
        </w:numPr>
        <w:pBdr>
          <w:top w:val="single" w:sz="12" w:space="3" w:color="auto"/>
        </w:pBdr>
        <w:spacing w:before="120" w:after="120"/>
        <w:ind w:left="0"/>
        <w:outlineLvl w:val="0"/>
        <w:rPr>
          <w:b/>
          <w:bCs/>
          <w:sz w:val="24"/>
          <w:szCs w:val="24"/>
        </w:rPr>
      </w:pPr>
      <w:r>
        <w:rPr>
          <w:rFonts w:hint="eastAsia"/>
          <w:b/>
          <w:bCs/>
          <w:sz w:val="24"/>
          <w:szCs w:val="24"/>
        </w:rPr>
        <w:t>Application delay for SSSG switching and PDCCH skipping</w:t>
      </w:r>
    </w:p>
    <w:p w:rsidR="00BA4952" w:rsidRDefault="00C56E6B">
      <w:pPr>
        <w:spacing w:before="120" w:after="120"/>
      </w:pPr>
      <w:r>
        <w:rPr>
          <w:rFonts w:hint="eastAsia"/>
        </w:rPr>
        <w:t>The application delay for SSSG switching mainly considers the following aspects:</w:t>
      </w:r>
    </w:p>
    <w:p w:rsidR="00BA4952" w:rsidRDefault="00C56E6B">
      <w:pPr>
        <w:numPr>
          <w:ilvl w:val="0"/>
          <w:numId w:val="14"/>
        </w:numPr>
        <w:tabs>
          <w:tab w:val="clear" w:pos="420"/>
        </w:tabs>
        <w:spacing w:before="120" w:after="120" w:line="260" w:lineRule="auto"/>
        <w:ind w:leftChars="200" w:left="630" w:hangingChars="100" w:hanging="210"/>
      </w:pPr>
      <w:r>
        <w:rPr>
          <w:rFonts w:hint="eastAsia"/>
        </w:rPr>
        <w:t xml:space="preserve">processing time for responding DL SPS PDSCH release indicated by a PDCCH, </w:t>
      </w:r>
    </w:p>
    <w:p w:rsidR="00BA4952" w:rsidRDefault="00C56E6B">
      <w:pPr>
        <w:numPr>
          <w:ilvl w:val="0"/>
          <w:numId w:val="14"/>
        </w:numPr>
        <w:tabs>
          <w:tab w:val="clear" w:pos="420"/>
        </w:tabs>
        <w:spacing w:before="120" w:after="120" w:line="260" w:lineRule="auto"/>
        <w:ind w:leftChars="200" w:left="630" w:hangingChars="100" w:hanging="210"/>
      </w:pPr>
      <w:r>
        <w:rPr>
          <w:rFonts w:hint="eastAsia"/>
        </w:rPr>
        <w:t>PDCCH monitoring adaptation after related PUCCH/PUSCH transmission, or</w:t>
      </w:r>
    </w:p>
    <w:p w:rsidR="00BA4952" w:rsidRDefault="00C56E6B">
      <w:pPr>
        <w:numPr>
          <w:ilvl w:val="0"/>
          <w:numId w:val="14"/>
        </w:numPr>
        <w:tabs>
          <w:tab w:val="clear" w:pos="420"/>
        </w:tabs>
        <w:spacing w:before="120" w:after="120" w:line="260" w:lineRule="auto"/>
        <w:ind w:leftChars="200" w:left="630" w:hangingChars="100" w:hanging="210"/>
      </w:pPr>
      <w:r>
        <w:rPr>
          <w:rFonts w:hint="eastAsia"/>
        </w:rPr>
        <w:t>PDCCH processing time with cross-slot scheduling configuration, etc.</w:t>
      </w:r>
    </w:p>
    <w:p w:rsidR="00BA4952" w:rsidRDefault="00C56E6B">
      <w:pPr>
        <w:spacing w:before="120" w:after="120"/>
      </w:pPr>
      <w:r>
        <w:t xml:space="preserve">According to TS </w:t>
      </w:r>
      <w:r w:rsidRPr="00EB3ED9">
        <w:t xml:space="preserve">38.213 </w:t>
      </w:r>
      <w:r w:rsidRPr="00D23CE0">
        <w:t>[4],</w:t>
      </w:r>
      <w:r w:rsidRPr="00EB3ED9">
        <w:t xml:space="preserve"> the specified application delay for SSSG switching for μ=0/1/2 shown in Table 2 can be reused as the application delay</w:t>
      </w:r>
      <w:r>
        <w:rPr>
          <w:rFonts w:hint="eastAsia"/>
        </w:rPr>
        <w:t xml:space="preserve"> for PDCCH adaptation including SSSG switching and PDCCH skipping. Therefore, for RRC connected-mode UE in NR, only the application delay for </w:t>
      </w:r>
      <w:r>
        <w:t>μ=</w:t>
      </w:r>
      <w:r>
        <w:rPr>
          <w:rFonts w:hint="eastAsia"/>
        </w:rPr>
        <w:t xml:space="preserve">3 should be studied. </w:t>
      </w:r>
    </w:p>
    <w:p w:rsidR="00BA4952" w:rsidRDefault="00C56E6B">
      <w:pPr>
        <w:pStyle w:val="TH"/>
        <w:spacing w:before="120" w:after="120"/>
      </w:pPr>
      <w:r>
        <w:rPr>
          <w:lang w:eastAsia="zh-CN"/>
        </w:rPr>
        <w:t xml:space="preserve">Table </w:t>
      </w:r>
      <w:r>
        <w:rPr>
          <w:rFonts w:hint="eastAsia"/>
          <w:lang w:eastAsia="zh-CN"/>
        </w:rPr>
        <w:t>2</w:t>
      </w:r>
      <w:r>
        <w:rPr>
          <w:lang w:eastAsia="zh-CN"/>
        </w:rPr>
        <w:t xml:space="preserve"> </w:t>
      </w:r>
      <w:r>
        <w:t xml:space="preserve">Minimum </w:t>
      </w:r>
      <w:r>
        <w:rPr>
          <w:lang w:eastAsia="zh-CN"/>
        </w:rPr>
        <w:t>application delay for SSSG switching</w:t>
      </w:r>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BA4952">
        <w:trPr>
          <w:cantSplit/>
          <w:jc w:val="center"/>
        </w:trPr>
        <w:tc>
          <w:tcPr>
            <w:tcW w:w="300" w:type="dxa"/>
            <w:shd w:val="clear" w:color="auto" w:fill="E0E0E0"/>
            <w:vAlign w:val="center"/>
          </w:tcPr>
          <w:p w:rsidR="00BA4952" w:rsidRDefault="00C56E6B">
            <w:pPr>
              <w:pStyle w:val="TAH"/>
              <w:spacing w:before="120" w:after="120"/>
              <w:rPr>
                <w:rFonts w:ascii="Times New Roman" w:hAnsi="Times New Roman"/>
                <w:sz w:val="20"/>
              </w:rPr>
            </w:pPr>
            <w:r>
              <w:rPr>
                <w:rFonts w:ascii="Times New Roman" w:hAnsi="Times New Roman"/>
              </w:rPr>
              <w:t>μ</w:t>
            </w:r>
          </w:p>
        </w:tc>
        <w:tc>
          <w:tcPr>
            <w:tcW w:w="3385" w:type="dxa"/>
            <w:shd w:val="clear" w:color="auto" w:fill="E0E0E0"/>
            <w:vAlign w:val="center"/>
          </w:tcPr>
          <w:p w:rsidR="00BA4952" w:rsidRDefault="00C56E6B">
            <w:pPr>
              <w:pStyle w:val="TAH"/>
              <w:spacing w:before="120" w:after="120"/>
              <w:rPr>
                <w:rFonts w:ascii="Times New Roman" w:hAnsi="Times New Roman"/>
                <w:szCs w:val="18"/>
              </w:rPr>
            </w:pPr>
            <w:r>
              <w:rPr>
                <w:rFonts w:ascii="Times New Roman" w:hAnsi="Times New Roman"/>
                <w:szCs w:val="18"/>
              </w:rPr>
              <w:t>Minimum application delay for</w:t>
            </w:r>
          </w:p>
          <w:p w:rsidR="00BA4952" w:rsidRDefault="00C56E6B">
            <w:pPr>
              <w:pStyle w:val="TAH"/>
              <w:spacing w:before="120" w:after="120"/>
              <w:rPr>
                <w:rFonts w:ascii="Times New Roman" w:hAnsi="Times New Roman"/>
                <w:sz w:val="20"/>
              </w:rPr>
            </w:pPr>
            <w:r>
              <w:rPr>
                <w:rFonts w:ascii="Times New Roman" w:hAnsi="Times New Roman"/>
                <w:szCs w:val="18"/>
              </w:rPr>
              <w:t xml:space="preserve"> UE processing capability 1 [symbols]</w:t>
            </w:r>
          </w:p>
        </w:tc>
        <w:tc>
          <w:tcPr>
            <w:tcW w:w="3420" w:type="dxa"/>
            <w:shd w:val="clear" w:color="auto" w:fill="E0E0E0"/>
            <w:vAlign w:val="center"/>
          </w:tcPr>
          <w:p w:rsidR="00BA4952" w:rsidRDefault="00C56E6B">
            <w:pPr>
              <w:pStyle w:val="TAH"/>
              <w:spacing w:before="120" w:after="120"/>
              <w:rPr>
                <w:rFonts w:ascii="Times New Roman" w:hAnsi="Times New Roman"/>
                <w:szCs w:val="18"/>
              </w:rPr>
            </w:pPr>
            <w:r>
              <w:rPr>
                <w:rFonts w:ascii="Times New Roman" w:hAnsi="Times New Roman"/>
                <w:szCs w:val="18"/>
              </w:rPr>
              <w:t>Minimum application delay for</w:t>
            </w:r>
          </w:p>
          <w:p w:rsidR="00BA4952" w:rsidRDefault="00C56E6B">
            <w:pPr>
              <w:pStyle w:val="TAH"/>
              <w:spacing w:before="120" w:after="120"/>
              <w:rPr>
                <w:rFonts w:ascii="Times New Roman" w:hAnsi="Times New Roman"/>
              </w:rPr>
            </w:pPr>
            <w:r>
              <w:rPr>
                <w:rFonts w:ascii="Times New Roman" w:hAnsi="Times New Roman"/>
                <w:szCs w:val="18"/>
              </w:rPr>
              <w:t xml:space="preserve"> UE processing capability 2 [symbols]</w:t>
            </w:r>
          </w:p>
        </w:tc>
      </w:tr>
      <w:tr w:rsidR="00BA4952">
        <w:trPr>
          <w:cantSplit/>
          <w:jc w:val="center"/>
        </w:trPr>
        <w:tc>
          <w:tcPr>
            <w:tcW w:w="300" w:type="dxa"/>
            <w:vAlign w:val="center"/>
          </w:tcPr>
          <w:p w:rsidR="00BA4952" w:rsidRDefault="00C56E6B">
            <w:pPr>
              <w:pStyle w:val="TAC"/>
              <w:spacing w:before="120" w:after="120"/>
              <w:rPr>
                <w:rFonts w:ascii="Times New Roman" w:hAnsi="Times New Roman"/>
              </w:rPr>
            </w:pPr>
            <w:r>
              <w:rPr>
                <w:rFonts w:ascii="Times New Roman" w:hAnsi="Times New Roman"/>
              </w:rPr>
              <w:t>0</w:t>
            </w:r>
          </w:p>
        </w:tc>
        <w:tc>
          <w:tcPr>
            <w:tcW w:w="3385" w:type="dxa"/>
            <w:vAlign w:val="center"/>
          </w:tcPr>
          <w:p w:rsidR="00BA4952" w:rsidRDefault="00C56E6B">
            <w:pPr>
              <w:pStyle w:val="TAC"/>
              <w:spacing w:before="120" w:after="120"/>
              <w:rPr>
                <w:rFonts w:ascii="Times New Roman" w:hAnsi="Times New Roman"/>
              </w:rPr>
            </w:pPr>
            <w:r>
              <w:rPr>
                <w:rFonts w:ascii="Times New Roman" w:hAnsi="Times New Roman"/>
              </w:rPr>
              <w:t>25</w:t>
            </w:r>
          </w:p>
        </w:tc>
        <w:tc>
          <w:tcPr>
            <w:tcW w:w="3420" w:type="dxa"/>
          </w:tcPr>
          <w:p w:rsidR="00BA4952" w:rsidRDefault="00C56E6B">
            <w:pPr>
              <w:pStyle w:val="TAC"/>
              <w:spacing w:before="120" w:after="120"/>
              <w:rPr>
                <w:rFonts w:ascii="Times New Roman" w:hAnsi="Times New Roman"/>
              </w:rPr>
            </w:pPr>
            <w:r>
              <w:rPr>
                <w:rFonts w:ascii="Times New Roman" w:hAnsi="Times New Roman"/>
              </w:rPr>
              <w:t>10</w:t>
            </w:r>
          </w:p>
        </w:tc>
      </w:tr>
      <w:tr w:rsidR="00BA4952">
        <w:trPr>
          <w:cantSplit/>
          <w:jc w:val="center"/>
        </w:trPr>
        <w:tc>
          <w:tcPr>
            <w:tcW w:w="300" w:type="dxa"/>
            <w:vAlign w:val="center"/>
          </w:tcPr>
          <w:p w:rsidR="00BA4952" w:rsidRDefault="00C56E6B">
            <w:pPr>
              <w:pStyle w:val="TAC"/>
              <w:spacing w:before="120" w:after="120"/>
              <w:rPr>
                <w:rFonts w:ascii="Times New Roman" w:hAnsi="Times New Roman"/>
              </w:rPr>
            </w:pPr>
            <w:r>
              <w:rPr>
                <w:rFonts w:ascii="Times New Roman" w:hAnsi="Times New Roman"/>
              </w:rPr>
              <w:t>1</w:t>
            </w:r>
          </w:p>
        </w:tc>
        <w:tc>
          <w:tcPr>
            <w:tcW w:w="3385" w:type="dxa"/>
            <w:vAlign w:val="center"/>
          </w:tcPr>
          <w:p w:rsidR="00BA4952" w:rsidRDefault="00C56E6B">
            <w:pPr>
              <w:pStyle w:val="TAC"/>
              <w:spacing w:before="120" w:after="120"/>
              <w:rPr>
                <w:rFonts w:ascii="Times New Roman" w:hAnsi="Times New Roman"/>
              </w:rPr>
            </w:pPr>
            <w:r>
              <w:rPr>
                <w:rFonts w:ascii="Times New Roman" w:hAnsi="Times New Roman"/>
              </w:rPr>
              <w:t>25</w:t>
            </w:r>
          </w:p>
        </w:tc>
        <w:tc>
          <w:tcPr>
            <w:tcW w:w="3420" w:type="dxa"/>
          </w:tcPr>
          <w:p w:rsidR="00BA4952" w:rsidRDefault="00C56E6B">
            <w:pPr>
              <w:pStyle w:val="TAC"/>
              <w:spacing w:before="120" w:after="120"/>
              <w:rPr>
                <w:rFonts w:ascii="Times New Roman" w:hAnsi="Times New Roman"/>
              </w:rPr>
            </w:pPr>
            <w:r>
              <w:rPr>
                <w:rFonts w:ascii="Times New Roman" w:hAnsi="Times New Roman"/>
              </w:rPr>
              <w:t>12</w:t>
            </w:r>
          </w:p>
        </w:tc>
      </w:tr>
      <w:tr w:rsidR="00BA4952">
        <w:trPr>
          <w:cantSplit/>
          <w:jc w:val="center"/>
        </w:trPr>
        <w:tc>
          <w:tcPr>
            <w:tcW w:w="300" w:type="dxa"/>
            <w:vAlign w:val="center"/>
          </w:tcPr>
          <w:p w:rsidR="00BA4952" w:rsidRDefault="00C56E6B">
            <w:pPr>
              <w:pStyle w:val="TAC"/>
              <w:spacing w:before="120" w:after="120"/>
              <w:rPr>
                <w:rFonts w:ascii="Times New Roman" w:hAnsi="Times New Roman"/>
              </w:rPr>
            </w:pPr>
            <w:r>
              <w:rPr>
                <w:rFonts w:ascii="Times New Roman" w:hAnsi="Times New Roman"/>
              </w:rPr>
              <w:t>2</w:t>
            </w:r>
          </w:p>
        </w:tc>
        <w:tc>
          <w:tcPr>
            <w:tcW w:w="3385" w:type="dxa"/>
            <w:vAlign w:val="center"/>
          </w:tcPr>
          <w:p w:rsidR="00BA4952" w:rsidRDefault="00C56E6B">
            <w:pPr>
              <w:pStyle w:val="TAC"/>
              <w:spacing w:before="120" w:after="120"/>
              <w:rPr>
                <w:rFonts w:ascii="Times New Roman" w:hAnsi="Times New Roman"/>
              </w:rPr>
            </w:pPr>
            <w:r>
              <w:rPr>
                <w:rFonts w:ascii="Times New Roman" w:hAnsi="Times New Roman"/>
              </w:rPr>
              <w:t>25</w:t>
            </w:r>
          </w:p>
        </w:tc>
        <w:tc>
          <w:tcPr>
            <w:tcW w:w="3420" w:type="dxa"/>
          </w:tcPr>
          <w:p w:rsidR="00BA4952" w:rsidRDefault="00C56E6B">
            <w:pPr>
              <w:pStyle w:val="TAC"/>
              <w:spacing w:before="120" w:after="120"/>
              <w:rPr>
                <w:rFonts w:ascii="Times New Roman" w:hAnsi="Times New Roman"/>
              </w:rPr>
            </w:pPr>
            <w:r>
              <w:rPr>
                <w:rFonts w:ascii="Times New Roman" w:hAnsi="Times New Roman"/>
              </w:rPr>
              <w:t>22</w:t>
            </w:r>
          </w:p>
        </w:tc>
      </w:tr>
    </w:tbl>
    <w:p w:rsidR="00BA4952" w:rsidRDefault="00BA4952">
      <w:pPr>
        <w:spacing w:before="120" w:after="120"/>
      </w:pPr>
    </w:p>
    <w:p w:rsidR="00BA4952" w:rsidRDefault="00C56E6B">
      <w:pPr>
        <w:spacing w:before="120" w:after="120"/>
      </w:pPr>
      <w:r>
        <w:rPr>
          <w:rFonts w:hint="eastAsia"/>
        </w:rPr>
        <w:t>Discussions on the processing time for Rel-16 SSSG switching in RAN1#100b-e can be found in [</w:t>
      </w:r>
      <w:r>
        <w:t>5</w:t>
      </w:r>
      <w:r>
        <w:rPr>
          <w:rFonts w:hint="eastAsia"/>
        </w:rPr>
        <w:t>]. It mentioned that the minimum application delay for SSSG switching is defined by considering the Cap.1 processing time for responding DL SPS release in CA. Herein, for NR connected-mode UE</w:t>
      </w:r>
      <w:r>
        <w:t xml:space="preserve">, </w:t>
      </w:r>
      <w:r>
        <w:rPr>
          <w:rFonts w:hint="eastAsia"/>
        </w:rPr>
        <w:t xml:space="preserve">the minimum delay for PDCCH adaptation for </w:t>
      </w:r>
      <w:r>
        <w:t>μ=3</w:t>
      </w:r>
      <w:r>
        <w:rPr>
          <w:rFonts w:hint="eastAsia"/>
        </w:rPr>
        <w:t xml:space="preserve"> should also consider </w:t>
      </w:r>
      <w:r>
        <w:t xml:space="preserve">the </w:t>
      </w:r>
      <w:r>
        <w:rPr>
          <w:rFonts w:hint="eastAsia"/>
        </w:rPr>
        <w:t xml:space="preserve">processing time of responding DL SPS PDSCH release as shown in Table A.1 in Appendix. Therefore, 25 symbols can be used as the minimum application delay </w:t>
      </w:r>
      <w:r>
        <w:t>for μ=</w:t>
      </w:r>
      <w:r>
        <w:rPr>
          <w:rFonts w:hint="eastAsia"/>
        </w:rPr>
        <w:t>3 for PDCCH adaptation.</w:t>
      </w:r>
    </w:p>
    <w:p w:rsidR="00BA4952" w:rsidRDefault="00C56E6B">
      <w:pPr>
        <w:pStyle w:val="YJ-Observation"/>
        <w:spacing w:before="120" w:after="120"/>
        <w:jc w:val="both"/>
        <w:rPr>
          <w:i w:val="0"/>
          <w:iCs w:val="0"/>
          <w:lang w:val="en-US"/>
        </w:rPr>
      </w:pPr>
      <w:bookmarkStart w:id="64" w:name="_Ref20704"/>
      <w:bookmarkStart w:id="65" w:name="_Toc3637"/>
      <w:bookmarkStart w:id="66" w:name="_Toc23738"/>
      <w:bookmarkStart w:id="67" w:name="_Toc17165"/>
      <w:bookmarkStart w:id="68" w:name="_Toc24323"/>
      <w:r>
        <w:rPr>
          <w:rFonts w:hint="eastAsia"/>
          <w:i w:val="0"/>
          <w:iCs w:val="0"/>
          <w:lang w:val="en-US"/>
        </w:rPr>
        <w:t xml:space="preserve">For </w:t>
      </w:r>
      <w:r>
        <w:rPr>
          <w:rFonts w:hint="eastAsia"/>
          <w:i w:val="0"/>
          <w:iCs w:val="0"/>
          <w:sz w:val="21"/>
          <w:szCs w:val="21"/>
          <w:lang w:val="en-US" w:eastAsia="zh-CN"/>
        </w:rPr>
        <w:t xml:space="preserve">PDCCH </w:t>
      </w:r>
      <w:r>
        <w:rPr>
          <w:rFonts w:hint="eastAsia"/>
          <w:i w:val="0"/>
          <w:iCs w:val="0"/>
          <w:lang w:val="en-US"/>
        </w:rPr>
        <w:t>adaptation, the processing time for responding DL SPS PDSCH release needs to be considered.</w:t>
      </w:r>
      <w:bookmarkEnd w:id="64"/>
      <w:bookmarkEnd w:id="65"/>
      <w:bookmarkEnd w:id="66"/>
      <w:bookmarkEnd w:id="67"/>
      <w:bookmarkEnd w:id="68"/>
    </w:p>
    <w:p w:rsidR="00BA4952" w:rsidRDefault="00C56E6B">
      <w:pPr>
        <w:pStyle w:val="YJ-Proposal"/>
        <w:spacing w:before="120" w:after="120"/>
        <w:jc w:val="both"/>
        <w:rPr>
          <w:i w:val="0"/>
          <w:iCs w:val="0"/>
          <w:lang w:val="en-US"/>
        </w:rPr>
      </w:pPr>
      <w:bookmarkStart w:id="69" w:name="_Toc4639"/>
      <w:bookmarkStart w:id="70" w:name="_Toc24152"/>
      <w:bookmarkStart w:id="71" w:name="_Toc24739"/>
      <w:bookmarkStart w:id="72" w:name="_Toc28908"/>
      <w:bookmarkStart w:id="73" w:name="_Toc26689"/>
      <w:bookmarkStart w:id="74" w:name="_Ref20861"/>
      <w:r>
        <w:rPr>
          <w:rFonts w:hint="eastAsia"/>
          <w:i w:val="0"/>
          <w:iCs w:val="0"/>
          <w:lang w:val="en-US"/>
        </w:rPr>
        <w:t xml:space="preserve">The application delay for PDCCH adaptation for </w:t>
      </w:r>
      <w:r>
        <w:rPr>
          <w:i w:val="0"/>
          <w:iCs w:val="0"/>
          <w:lang w:val="en-US"/>
        </w:rPr>
        <w:t>μ</w:t>
      </w:r>
      <w:r>
        <w:rPr>
          <w:rFonts w:hint="eastAsia"/>
          <w:i w:val="0"/>
          <w:iCs w:val="0"/>
          <w:lang w:val="en-US"/>
        </w:rPr>
        <w:t xml:space="preserve">=0/1/2 can reuse that of SSSG switching in Rel-16. The minimum value of application delay for PDCCH adaptation for </w:t>
      </w:r>
      <w:r>
        <w:rPr>
          <w:i w:val="0"/>
          <w:iCs w:val="0"/>
          <w:lang w:val="en-US"/>
        </w:rPr>
        <w:t>μ</w:t>
      </w:r>
      <w:r>
        <w:rPr>
          <w:rFonts w:hint="eastAsia"/>
          <w:i w:val="0"/>
          <w:iCs w:val="0"/>
          <w:lang w:val="en-US"/>
        </w:rPr>
        <w:t>=3 can be 25 symbols.</w:t>
      </w:r>
      <w:bookmarkEnd w:id="69"/>
      <w:bookmarkEnd w:id="70"/>
      <w:bookmarkEnd w:id="71"/>
      <w:bookmarkEnd w:id="72"/>
      <w:bookmarkEnd w:id="73"/>
      <w:r>
        <w:rPr>
          <w:rFonts w:hint="eastAsia"/>
          <w:i w:val="0"/>
          <w:iCs w:val="0"/>
          <w:lang w:val="en-US"/>
        </w:rPr>
        <w:t xml:space="preserve"> </w:t>
      </w:r>
      <w:bookmarkEnd w:id="74"/>
    </w:p>
    <w:p w:rsidR="00BA4952" w:rsidRDefault="00C56E6B">
      <w:pPr>
        <w:spacing w:before="120" w:after="120"/>
      </w:pPr>
      <w:r>
        <w:rPr>
          <w:rFonts w:hint="eastAsia"/>
        </w:rPr>
        <w:lastRenderedPageBreak/>
        <w:t xml:space="preserve">In </w:t>
      </w:r>
      <w:r>
        <w:t xml:space="preserve">the cross-slot scheduling mode, whether PDCCH processing time can be relaxed or not was discussed in Rel-16. However, there is no consensus considering the significant impacts on other processing timelines. Besides, the most power saving gain from cross-slot scheduling </w:t>
      </w:r>
      <w:r>
        <w:rPr>
          <w:rFonts w:hint="eastAsia"/>
        </w:rPr>
        <w:t xml:space="preserve">can </w:t>
      </w:r>
      <w:r>
        <w:t xml:space="preserve">be obtained by a smaller </w:t>
      </w:r>
      <w:r>
        <w:rPr>
          <w:rFonts w:hint="eastAsia"/>
        </w:rPr>
        <w:t>minimum scheduling offset</w:t>
      </w:r>
      <w:r>
        <w:t xml:space="preserve">, e.g., K0=1 or 2. </w:t>
      </w:r>
    </w:p>
    <w:p w:rsidR="00BA4952" w:rsidRDefault="00C56E6B">
      <w:pPr>
        <w:spacing w:before="120" w:after="120"/>
      </w:pPr>
      <w:r>
        <w:t>In</w:t>
      </w:r>
      <w:r>
        <w:rPr>
          <w:rFonts w:hint="eastAsia"/>
        </w:rPr>
        <w:t xml:space="preserve"> the case of SSSG switching, the minimum application delay can be 25 symbols which is larger than 2 slots to completely cover the</w:t>
      </w:r>
      <w:r>
        <w:t xml:space="preserve"> potential</w:t>
      </w:r>
      <w:r>
        <w:rPr>
          <w:rFonts w:hint="eastAsia"/>
        </w:rPr>
        <w:t xml:space="preserve"> PDCCH </w:t>
      </w:r>
      <w:r>
        <w:t>relaxation</w:t>
      </w:r>
      <w:r>
        <w:rPr>
          <w:rFonts w:hint="eastAsia"/>
        </w:rPr>
        <w:t xml:space="preserve">. Therefore, the delay for applying the PDCCH adaptation does not need to consider the minimum scheduling offset when cross-slot scheduling is applied. </w:t>
      </w:r>
    </w:p>
    <w:p w:rsidR="00BA4952" w:rsidRDefault="00C56E6B">
      <w:pPr>
        <w:pStyle w:val="YJ-Observation"/>
        <w:spacing w:before="120" w:after="120"/>
        <w:jc w:val="both"/>
        <w:rPr>
          <w:i w:val="0"/>
          <w:iCs w:val="0"/>
          <w:lang w:val="en-US"/>
        </w:rPr>
      </w:pPr>
      <w:bookmarkStart w:id="75" w:name="_Ref20707"/>
      <w:bookmarkStart w:id="76" w:name="_Toc16635"/>
      <w:bookmarkStart w:id="77" w:name="_Toc23753"/>
      <w:bookmarkStart w:id="78" w:name="_Toc15898"/>
      <w:bookmarkStart w:id="79" w:name="_Toc6913"/>
      <w:r>
        <w:rPr>
          <w:rFonts w:hint="eastAsia"/>
          <w:i w:val="0"/>
          <w:iCs w:val="0"/>
          <w:lang w:val="en-US"/>
        </w:rPr>
        <w:t>When cross-slot scheduling is applied for the UE, the delay for applying the PDCCH adaptation does not need to consider the minimum scheduling offset.</w:t>
      </w:r>
      <w:bookmarkEnd w:id="75"/>
      <w:bookmarkEnd w:id="76"/>
      <w:bookmarkEnd w:id="77"/>
      <w:bookmarkEnd w:id="78"/>
      <w:bookmarkEnd w:id="79"/>
    </w:p>
    <w:p w:rsidR="00BA4952" w:rsidRDefault="00BA4952">
      <w:pPr>
        <w:spacing w:before="120" w:after="120"/>
      </w:pPr>
      <w:bookmarkStart w:id="80" w:name="_Toc19439"/>
      <w:bookmarkStart w:id="81" w:name="_Toc22563"/>
      <w:bookmarkEnd w:id="80"/>
      <w:bookmarkEnd w:id="81"/>
    </w:p>
    <w:p w:rsidR="00BA4952" w:rsidRDefault="00C56E6B">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BA4952" w:rsidRDefault="00C56E6B">
      <w:pPr>
        <w:spacing w:before="120" w:after="120"/>
        <w:rPr>
          <w:szCs w:val="22"/>
        </w:rPr>
      </w:pPr>
      <w:r>
        <w:rPr>
          <w:rFonts w:hint="eastAsia"/>
        </w:rPr>
        <w:t>In this contribution, we discuss the power saving enhancement schemes for paging. We have the following observations and proposals.</w:t>
      </w:r>
    </w:p>
    <w:p w:rsidR="00BA4952" w:rsidRDefault="00C56E6B" w:rsidP="00D23CE0">
      <w:pPr>
        <w:pStyle w:val="10"/>
        <w:tabs>
          <w:tab w:val="clear" w:pos="0"/>
          <w:tab w:val="right" w:leader="dot" w:pos="9660"/>
        </w:tabs>
        <w:spacing w:before="120" w:after="120"/>
        <w:jc w:val="both"/>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24323" w:history="1">
        <w:r>
          <w:rPr>
            <w:rFonts w:eastAsia="宋体"/>
            <w:i w:val="0"/>
            <w:iCs w:val="0"/>
            <w:szCs w:val="21"/>
          </w:rPr>
          <w:t xml:space="preserve">Observation 1: </w:t>
        </w:r>
        <w:r>
          <w:rPr>
            <w:rFonts w:hint="eastAsia"/>
            <w:i w:val="0"/>
            <w:iCs w:val="0"/>
          </w:rPr>
          <w:t xml:space="preserve">For </w:t>
        </w:r>
        <w:r>
          <w:rPr>
            <w:rFonts w:hint="eastAsia"/>
            <w:i w:val="0"/>
            <w:iCs w:val="0"/>
            <w:szCs w:val="21"/>
          </w:rPr>
          <w:t xml:space="preserve">PDCCH </w:t>
        </w:r>
        <w:r>
          <w:rPr>
            <w:rFonts w:hint="eastAsia"/>
            <w:i w:val="0"/>
            <w:iCs w:val="0"/>
          </w:rPr>
          <w:t>adaptation, the processing time for responding DL SPS PDSCH release needs to be considered.</w:t>
        </w:r>
      </w:hyperlink>
    </w:p>
    <w:p w:rsidR="00BA4952" w:rsidRDefault="00C56E6B" w:rsidP="00D23CE0">
      <w:pPr>
        <w:pStyle w:val="10"/>
        <w:tabs>
          <w:tab w:val="clear" w:pos="0"/>
          <w:tab w:val="right" w:leader="dot" w:pos="9660"/>
        </w:tabs>
        <w:spacing w:before="120" w:after="120"/>
        <w:jc w:val="both"/>
      </w:pPr>
      <w:hyperlink w:anchor="_Toc6913" w:history="1">
        <w:r>
          <w:rPr>
            <w:rFonts w:eastAsia="宋体"/>
            <w:i w:val="0"/>
            <w:iCs w:val="0"/>
            <w:szCs w:val="21"/>
          </w:rPr>
          <w:t xml:space="preserve">Observation 2: </w:t>
        </w:r>
        <w:r>
          <w:rPr>
            <w:rFonts w:hint="eastAsia"/>
            <w:i w:val="0"/>
            <w:iCs w:val="0"/>
          </w:rPr>
          <w:t>When cross-slot scheduling is applied for the UE, the delay for applying the PDCCH adaptation does not need to consider the minimum scheduling offset.</w:t>
        </w:r>
      </w:hyperlink>
    </w:p>
    <w:p w:rsidR="00BA4952" w:rsidRDefault="00C56E6B">
      <w:pPr>
        <w:spacing w:before="120" w:after="120"/>
      </w:pPr>
      <w:r>
        <w:rPr>
          <w:szCs w:val="22"/>
        </w:rPr>
        <w:fldChar w:fldCharType="end"/>
      </w:r>
    </w:p>
    <w:p w:rsidR="00BA4952" w:rsidRDefault="00C56E6B" w:rsidP="00D23CE0">
      <w:pPr>
        <w:pStyle w:val="10"/>
        <w:tabs>
          <w:tab w:val="clear" w:pos="0"/>
          <w:tab w:val="right" w:leader="dot" w:pos="9660"/>
        </w:tabs>
        <w:spacing w:before="120" w:after="120"/>
        <w:jc w:val="both"/>
      </w:pPr>
      <w:r>
        <w:rPr>
          <w:i w:val="0"/>
          <w:iCs w:val="0"/>
        </w:rPr>
        <w:fldChar w:fldCharType="begin"/>
      </w:r>
      <w:r>
        <w:rPr>
          <w:i w:val="0"/>
          <w:iCs w:val="0"/>
        </w:rPr>
        <w:instrText>TOC \n  \t "YJ-Proposal,1,sub-proposal,2,3rd level proposal,3" \h</w:instrText>
      </w:r>
      <w:r>
        <w:rPr>
          <w:i w:val="0"/>
          <w:iCs w:val="0"/>
        </w:rPr>
        <w:fldChar w:fldCharType="separate"/>
      </w:r>
      <w:hyperlink w:anchor="_Toc1267" w:history="1">
        <w:r>
          <w:rPr>
            <w:rFonts w:eastAsia="宋体"/>
            <w:i w:val="0"/>
            <w:iCs w:val="0"/>
          </w:rPr>
          <w:t xml:space="preserve">Proposal 1: </w:t>
        </w:r>
        <w:r>
          <w:rPr>
            <w:rFonts w:hint="eastAsia"/>
            <w:i w:val="0"/>
            <w:iCs w:val="0"/>
          </w:rPr>
          <w:t>Whether UE supports PDCCH skipping function and/or SSSG switching function should be determined by UE capability.</w:t>
        </w:r>
      </w:hyperlink>
    </w:p>
    <w:p w:rsidR="00BA4952" w:rsidRDefault="00C56E6B" w:rsidP="00D23CE0">
      <w:pPr>
        <w:pStyle w:val="10"/>
        <w:tabs>
          <w:tab w:val="clear" w:pos="0"/>
          <w:tab w:val="right" w:leader="dot" w:pos="9660"/>
        </w:tabs>
        <w:spacing w:before="120" w:after="120"/>
        <w:jc w:val="both"/>
      </w:pPr>
      <w:hyperlink w:anchor="_Toc21430" w:history="1">
        <w:r>
          <w:rPr>
            <w:rFonts w:eastAsia="宋体"/>
            <w:i w:val="0"/>
            <w:iCs w:val="0"/>
            <w:szCs w:val="21"/>
          </w:rPr>
          <w:t xml:space="preserve">Proposal 2: </w:t>
        </w:r>
        <w:r>
          <w:rPr>
            <w:rFonts w:hint="eastAsia"/>
            <w:i w:val="0"/>
            <w:iCs w:val="0"/>
            <w:szCs w:val="21"/>
          </w:rPr>
          <w:t>The working assumptions about Beh 1 should be confirmed.</w:t>
        </w:r>
      </w:hyperlink>
    </w:p>
    <w:p w:rsidR="00BA4952" w:rsidRDefault="00C56E6B" w:rsidP="00D23CE0">
      <w:pPr>
        <w:pStyle w:val="10"/>
        <w:tabs>
          <w:tab w:val="clear" w:pos="0"/>
          <w:tab w:val="right" w:leader="dot" w:pos="9660"/>
        </w:tabs>
        <w:spacing w:before="120" w:after="120"/>
        <w:jc w:val="both"/>
      </w:pPr>
      <w:hyperlink w:anchor="_Toc32667" w:history="1">
        <w:r>
          <w:rPr>
            <w:rFonts w:eastAsia="宋体"/>
            <w:i w:val="0"/>
            <w:iCs w:val="0"/>
          </w:rPr>
          <w:t xml:space="preserve">Proposal 3: </w:t>
        </w:r>
        <w:r>
          <w:rPr>
            <w:i w:val="0"/>
            <w:iCs w:val="0"/>
          </w:rPr>
          <w:t>If the working assumption about Beh 2B is confirmed, whether more than 2 SSSGs is supported should be determined by UE capability.</w:t>
        </w:r>
      </w:hyperlink>
    </w:p>
    <w:p w:rsidR="00BA4952" w:rsidRDefault="00C56E6B" w:rsidP="00D23CE0">
      <w:pPr>
        <w:pStyle w:val="10"/>
        <w:tabs>
          <w:tab w:val="clear" w:pos="0"/>
          <w:tab w:val="right" w:leader="dot" w:pos="9660"/>
        </w:tabs>
        <w:spacing w:before="120" w:after="120"/>
        <w:jc w:val="both"/>
      </w:pPr>
      <w:hyperlink w:anchor="_Toc4110" w:history="1">
        <w:r>
          <w:rPr>
            <w:rFonts w:eastAsia="宋体"/>
            <w:i w:val="0"/>
            <w:iCs w:val="0"/>
          </w:rPr>
          <w:t xml:space="preserve">Proposal 4: </w:t>
        </w:r>
        <w:r>
          <w:rPr>
            <w:rFonts w:hint="eastAsia"/>
            <w:i w:val="0"/>
            <w:iCs w:val="0"/>
          </w:rPr>
          <w:t>Support multiple PDCCH skipping durations. The multiple durations can be configured by RRC signaling and indicated by DCI dynamically.</w:t>
        </w:r>
      </w:hyperlink>
    </w:p>
    <w:p w:rsidR="00BA4952" w:rsidRDefault="00C56E6B" w:rsidP="00D23CE0">
      <w:pPr>
        <w:pStyle w:val="10"/>
        <w:tabs>
          <w:tab w:val="clear" w:pos="0"/>
          <w:tab w:val="right" w:leader="dot" w:pos="9660"/>
        </w:tabs>
        <w:spacing w:before="120" w:after="120"/>
        <w:jc w:val="both"/>
      </w:pPr>
      <w:hyperlink w:anchor="_Toc19519" w:history="1">
        <w:r>
          <w:rPr>
            <w:rFonts w:eastAsia="宋体"/>
            <w:i w:val="0"/>
            <w:iCs w:val="0"/>
          </w:rPr>
          <w:t xml:space="preserve">Proposal 5: </w:t>
        </w:r>
        <w:r>
          <w:rPr>
            <w:rFonts w:hint="eastAsia"/>
            <w:i w:val="0"/>
            <w:iCs w:val="0"/>
          </w:rPr>
          <w:t>Support the mapping method for PDCCH skipping in Table 1.</w:t>
        </w:r>
      </w:hyperlink>
    </w:p>
    <w:p w:rsidR="00BA4952" w:rsidRDefault="00C56E6B" w:rsidP="00D23CE0">
      <w:pPr>
        <w:pStyle w:val="10"/>
        <w:tabs>
          <w:tab w:val="clear" w:pos="0"/>
          <w:tab w:val="right" w:leader="dot" w:pos="9660"/>
        </w:tabs>
        <w:spacing w:before="120" w:after="120"/>
        <w:jc w:val="both"/>
      </w:pPr>
      <w:hyperlink w:anchor="_Toc4413" w:history="1">
        <w:r>
          <w:rPr>
            <w:rFonts w:eastAsia="宋体"/>
            <w:i w:val="0"/>
            <w:iCs w:val="0"/>
          </w:rPr>
          <w:t xml:space="preserve">Proposal 6: </w:t>
        </w:r>
        <w:r>
          <w:rPr>
            <w:rFonts w:hint="eastAsia"/>
            <w:i w:val="0"/>
            <w:iCs w:val="0"/>
          </w:rPr>
          <w:t>For SSSG switching, timer-based triggering mechanism for SSSG switching can be reused to simplify the specification work.</w:t>
        </w:r>
      </w:hyperlink>
    </w:p>
    <w:p w:rsidR="00BA4952" w:rsidRDefault="00C56E6B" w:rsidP="00D23CE0">
      <w:pPr>
        <w:pStyle w:val="10"/>
        <w:tabs>
          <w:tab w:val="clear" w:pos="0"/>
          <w:tab w:val="right" w:leader="dot" w:pos="9660"/>
        </w:tabs>
        <w:spacing w:before="120" w:after="120"/>
        <w:jc w:val="both"/>
      </w:pPr>
      <w:hyperlink w:anchor="_Toc20228" w:history="1">
        <w:r>
          <w:rPr>
            <w:rFonts w:eastAsia="宋体"/>
            <w:i w:val="0"/>
            <w:iCs w:val="0"/>
          </w:rPr>
          <w:t xml:space="preserve">Proposal 7: </w:t>
        </w:r>
        <w:r>
          <w:rPr>
            <w:i w:val="0"/>
            <w:iCs w:val="0"/>
            <w:szCs w:val="21"/>
          </w:rPr>
          <w:t xml:space="preserve">A </w:t>
        </w:r>
        <w:r>
          <w:rPr>
            <w:rFonts w:hint="eastAsia"/>
            <w:i w:val="0"/>
            <w:iCs w:val="0"/>
          </w:rPr>
          <w:t xml:space="preserve">skipping timer used for PDCCH adaptation from SSSG monitoring to PDCCH skipping should be considered in the cases of PDCCH </w:t>
        </w:r>
        <w:r>
          <w:rPr>
            <w:i w:val="0"/>
            <w:iCs w:val="0"/>
          </w:rPr>
          <w:t xml:space="preserve">monitoring </w:t>
        </w:r>
        <w:r>
          <w:rPr>
            <w:rFonts w:hint="eastAsia"/>
            <w:i w:val="0"/>
            <w:iCs w:val="0"/>
          </w:rPr>
          <w:t>adaptation without DCI indication.</w:t>
        </w:r>
      </w:hyperlink>
    </w:p>
    <w:p w:rsidR="00BA4952" w:rsidRDefault="00C56E6B" w:rsidP="00D23CE0">
      <w:pPr>
        <w:pStyle w:val="10"/>
        <w:tabs>
          <w:tab w:val="clear" w:pos="0"/>
          <w:tab w:val="right" w:leader="dot" w:pos="9660"/>
        </w:tabs>
        <w:spacing w:before="120" w:after="120"/>
        <w:jc w:val="both"/>
      </w:pPr>
      <w:hyperlink w:anchor="_Toc17179" w:history="1">
        <w:r>
          <w:rPr>
            <w:rFonts w:eastAsia="宋体"/>
            <w:i w:val="0"/>
            <w:iCs w:val="0"/>
          </w:rPr>
          <w:t xml:space="preserve">Proposal 8: </w:t>
        </w:r>
        <w:r>
          <w:rPr>
            <w:i w:val="0"/>
            <w:iCs w:val="0"/>
            <w:szCs w:val="21"/>
          </w:rPr>
          <w:t xml:space="preserve">UE </w:t>
        </w:r>
        <w:r>
          <w:rPr>
            <w:rFonts w:hint="eastAsia"/>
            <w:i w:val="0"/>
            <w:iCs w:val="0"/>
          </w:rPr>
          <w:t>should switch to a default SSSG after the end of PDCCH skipping duration, wherein the default SSSG should be configured by RRC signaling to adapt to various traffic models.</w:t>
        </w:r>
      </w:hyperlink>
    </w:p>
    <w:p w:rsidR="00BA4952" w:rsidRDefault="00C56E6B" w:rsidP="00D23CE0">
      <w:pPr>
        <w:pStyle w:val="10"/>
        <w:tabs>
          <w:tab w:val="clear" w:pos="0"/>
          <w:tab w:val="right" w:leader="dot" w:pos="9660"/>
        </w:tabs>
        <w:spacing w:before="120" w:after="120"/>
        <w:jc w:val="both"/>
      </w:pPr>
      <w:hyperlink w:anchor="_Toc9088" w:history="1">
        <w:r>
          <w:rPr>
            <w:rFonts w:eastAsia="宋体"/>
            <w:i w:val="0"/>
            <w:iCs w:val="0"/>
          </w:rPr>
          <w:t xml:space="preserve">Proposal 9: </w:t>
        </w:r>
        <w:r>
          <w:rPr>
            <w:rFonts w:hint="eastAsia"/>
            <w:i w:val="0"/>
            <w:iCs w:val="0"/>
          </w:rPr>
          <w:t xml:space="preserve">A </w:t>
        </w:r>
        <w:r>
          <w:rPr>
            <w:i w:val="0"/>
          </w:rPr>
          <w:t>flag</w:t>
        </w:r>
        <w:r>
          <w:rPr>
            <w:rFonts w:hint="eastAsia"/>
            <w:i w:val="0"/>
          </w:rPr>
          <w:t xml:space="preserve"> </w:t>
        </w:r>
        <w:r>
          <w:rPr>
            <w:rFonts w:hint="eastAsia"/>
            <w:i w:val="0"/>
            <w:iCs w:val="0"/>
          </w:rPr>
          <w:t>field used to enable one of the indication information of SSSG switching and PDCCH skipping can be introduced.</w:t>
        </w:r>
      </w:hyperlink>
    </w:p>
    <w:p w:rsidR="00BA4952" w:rsidRDefault="00C56E6B" w:rsidP="00D23CE0">
      <w:pPr>
        <w:pStyle w:val="10"/>
        <w:tabs>
          <w:tab w:val="clear" w:pos="0"/>
          <w:tab w:val="right" w:leader="dot" w:pos="9660"/>
        </w:tabs>
        <w:spacing w:before="120" w:after="120"/>
        <w:jc w:val="both"/>
      </w:pPr>
      <w:hyperlink w:anchor="_Toc15746" w:history="1">
        <w:r>
          <w:rPr>
            <w:rFonts w:eastAsia="宋体"/>
            <w:i w:val="0"/>
            <w:iCs w:val="0"/>
          </w:rPr>
          <w:t xml:space="preserve">Proposal 10: </w:t>
        </w:r>
        <w:r>
          <w:rPr>
            <w:i w:val="0"/>
            <w:iCs w:val="0"/>
            <w:szCs w:val="21"/>
          </w:rPr>
          <w:t xml:space="preserve">The </w:t>
        </w:r>
        <w:r>
          <w:rPr>
            <w:rFonts w:hint="eastAsia"/>
            <w:i w:val="0"/>
            <w:iCs w:val="0"/>
          </w:rPr>
          <w:t>UE should monitor PDCCH for retransmission data, but it does not monitor PDCCH for an initial transmission data during the PDCCH skipping period.</w:t>
        </w:r>
      </w:hyperlink>
    </w:p>
    <w:p w:rsidR="00BA4952" w:rsidRDefault="00C56E6B" w:rsidP="00D23CE0">
      <w:pPr>
        <w:pStyle w:val="10"/>
        <w:tabs>
          <w:tab w:val="clear" w:pos="0"/>
          <w:tab w:val="right" w:leader="dot" w:pos="9660"/>
        </w:tabs>
        <w:spacing w:before="120" w:after="120"/>
        <w:jc w:val="both"/>
      </w:pPr>
      <w:hyperlink w:anchor="_Toc10844" w:history="1">
        <w:r>
          <w:rPr>
            <w:rFonts w:eastAsia="宋体"/>
            <w:i w:val="0"/>
            <w:iCs w:val="0"/>
          </w:rPr>
          <w:t xml:space="preserve">Proposal 11: </w:t>
        </w:r>
        <w:r>
          <w:rPr>
            <w:rFonts w:hint="eastAsia"/>
            <w:i w:val="0"/>
            <w:iCs w:val="0"/>
          </w:rPr>
          <w:t>The UE should monitor PDCCH according to all of search space sets configured in the DL active BWP or search space sets in a default SSSG when the following events occur during a skipping duration.</w:t>
        </w:r>
      </w:hyperlink>
    </w:p>
    <w:p w:rsidR="00BA4952" w:rsidRDefault="00C56E6B" w:rsidP="00D23CE0">
      <w:pPr>
        <w:pStyle w:val="20"/>
        <w:tabs>
          <w:tab w:val="clear" w:pos="420"/>
          <w:tab w:val="right" w:leader="dot" w:pos="9660"/>
        </w:tabs>
        <w:spacing w:before="120" w:after="120"/>
        <w:ind w:left="822" w:hanging="402"/>
        <w:jc w:val="both"/>
      </w:pPr>
      <w:hyperlink w:anchor="_Toc11744" w:history="1">
        <w:r>
          <w:rPr>
            <w:rFonts w:ascii="Arial" w:hAnsi="Arial" w:cs="Arial"/>
            <w:i w:val="0"/>
          </w:rPr>
          <w:t xml:space="preserve">• </w:t>
        </w:r>
        <w:r>
          <w:rPr>
            <w:rFonts w:hint="eastAsia"/>
            <w:i w:val="0"/>
          </w:rPr>
          <w:t>SR indicated by the UE,</w:t>
        </w:r>
      </w:hyperlink>
    </w:p>
    <w:p w:rsidR="00BA4952" w:rsidRDefault="00C56E6B" w:rsidP="00D23CE0">
      <w:pPr>
        <w:pStyle w:val="20"/>
        <w:tabs>
          <w:tab w:val="clear" w:pos="420"/>
          <w:tab w:val="right" w:leader="dot" w:pos="9660"/>
        </w:tabs>
        <w:spacing w:before="120" w:after="120"/>
        <w:ind w:left="822" w:hanging="402"/>
        <w:jc w:val="both"/>
      </w:pPr>
      <w:hyperlink w:anchor="_Toc5387" w:history="1">
        <w:r>
          <w:rPr>
            <w:rFonts w:ascii="Arial" w:hAnsi="Arial" w:cs="Arial"/>
            <w:i w:val="0"/>
          </w:rPr>
          <w:t xml:space="preserve">• </w:t>
        </w:r>
        <w:r>
          <w:rPr>
            <w:rFonts w:hint="eastAsia"/>
            <w:i w:val="0"/>
          </w:rPr>
          <w:t>beam failure detection, or</w:t>
        </w:r>
      </w:hyperlink>
    </w:p>
    <w:p w:rsidR="00BA4952" w:rsidRDefault="00C56E6B" w:rsidP="00D23CE0">
      <w:pPr>
        <w:pStyle w:val="20"/>
        <w:tabs>
          <w:tab w:val="clear" w:pos="420"/>
          <w:tab w:val="right" w:leader="dot" w:pos="9660"/>
        </w:tabs>
        <w:spacing w:before="120" w:after="120"/>
        <w:ind w:left="822" w:hanging="402"/>
        <w:jc w:val="both"/>
      </w:pPr>
      <w:hyperlink w:anchor="_Toc23189" w:history="1">
        <w:r>
          <w:rPr>
            <w:rFonts w:ascii="Arial" w:hAnsi="Arial" w:cs="Arial"/>
            <w:i w:val="0"/>
          </w:rPr>
          <w:t xml:space="preserve">• </w:t>
        </w:r>
        <w:r>
          <w:rPr>
            <w:rFonts w:hint="eastAsia"/>
            <w:i w:val="0"/>
          </w:rPr>
          <w:t>random access procedure in RRC connected mode due to out-of sync, etc.</w:t>
        </w:r>
      </w:hyperlink>
    </w:p>
    <w:p w:rsidR="00BA4952" w:rsidRDefault="00C56E6B" w:rsidP="00D23CE0">
      <w:pPr>
        <w:pStyle w:val="10"/>
        <w:tabs>
          <w:tab w:val="clear" w:pos="0"/>
          <w:tab w:val="right" w:leader="dot" w:pos="9660"/>
        </w:tabs>
        <w:spacing w:before="120" w:after="120"/>
        <w:jc w:val="both"/>
      </w:pPr>
      <w:hyperlink w:anchor="_Toc26689" w:history="1">
        <w:r>
          <w:rPr>
            <w:rFonts w:eastAsia="宋体"/>
            <w:i w:val="0"/>
            <w:iCs w:val="0"/>
          </w:rPr>
          <w:t xml:space="preserve">Proposal 12: </w:t>
        </w:r>
        <w:r>
          <w:rPr>
            <w:rFonts w:hint="eastAsia"/>
            <w:i w:val="0"/>
            <w:iCs w:val="0"/>
          </w:rPr>
          <w:t xml:space="preserve">The application delay for PDCCH adaptation for </w:t>
        </w:r>
        <w:r>
          <w:rPr>
            <w:i w:val="0"/>
            <w:iCs w:val="0"/>
          </w:rPr>
          <w:t>μ</w:t>
        </w:r>
        <w:r>
          <w:rPr>
            <w:rFonts w:hint="eastAsia"/>
            <w:i w:val="0"/>
            <w:iCs w:val="0"/>
          </w:rPr>
          <w:t xml:space="preserve">=0/1/2 can reuse that of SSSG switching in Rel-16. The minimum value of application delay for PDCCH adaptation for </w:t>
        </w:r>
        <w:r>
          <w:rPr>
            <w:i w:val="0"/>
            <w:iCs w:val="0"/>
          </w:rPr>
          <w:t>μ</w:t>
        </w:r>
        <w:r>
          <w:rPr>
            <w:rFonts w:hint="eastAsia"/>
            <w:i w:val="0"/>
            <w:iCs w:val="0"/>
          </w:rPr>
          <w:t>=3 can be 25 symbols.</w:t>
        </w:r>
      </w:hyperlink>
    </w:p>
    <w:p w:rsidR="00BA4952" w:rsidRDefault="00C56E6B">
      <w:pPr>
        <w:spacing w:before="120" w:after="120"/>
      </w:pPr>
      <w:r>
        <w:fldChar w:fldCharType="end"/>
      </w:r>
    </w:p>
    <w:p w:rsidR="00BA4952" w:rsidRDefault="00C56E6B">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BA4952" w:rsidRDefault="00C56E6B">
      <w:pPr>
        <w:pStyle w:val="References"/>
        <w:spacing w:before="120" w:after="120"/>
        <w:ind w:left="363" w:hanging="363"/>
        <w:rPr>
          <w:szCs w:val="20"/>
        </w:rPr>
      </w:pPr>
      <w:bookmarkStart w:id="82" w:name="_Ref17466"/>
      <w:r>
        <w:rPr>
          <w:rFonts w:hint="eastAsia"/>
          <w:szCs w:val="20"/>
        </w:rPr>
        <w:t>Chairman's Notes RAN1#10</w:t>
      </w:r>
      <w:r>
        <w:rPr>
          <w:szCs w:val="20"/>
        </w:rPr>
        <w:t>6</w:t>
      </w:r>
      <w:r>
        <w:rPr>
          <w:rFonts w:hint="eastAsia"/>
          <w:szCs w:val="20"/>
        </w:rPr>
        <w:t>-e, 3GPP TSG RAN1#10</w:t>
      </w:r>
      <w:r>
        <w:rPr>
          <w:szCs w:val="20"/>
        </w:rPr>
        <w:t>6</w:t>
      </w:r>
      <w:r>
        <w:rPr>
          <w:rFonts w:hint="eastAsia"/>
          <w:szCs w:val="20"/>
        </w:rPr>
        <w:t>-e, 2021-0</w:t>
      </w:r>
      <w:r>
        <w:rPr>
          <w:szCs w:val="20"/>
        </w:rPr>
        <w:t>8</w:t>
      </w:r>
      <w:r>
        <w:rPr>
          <w:rFonts w:hint="eastAsia"/>
          <w:szCs w:val="20"/>
        </w:rPr>
        <w:t>.</w:t>
      </w:r>
    </w:p>
    <w:p w:rsidR="00BA4952" w:rsidRDefault="00C56E6B">
      <w:pPr>
        <w:pStyle w:val="References"/>
        <w:spacing w:before="120" w:after="120"/>
        <w:ind w:left="363" w:hanging="363"/>
        <w:rPr>
          <w:szCs w:val="20"/>
        </w:rPr>
      </w:pPr>
      <w:r>
        <w:rPr>
          <w:rFonts w:hint="eastAsia"/>
          <w:szCs w:val="20"/>
        </w:rPr>
        <w:t>R1-2108868</w:t>
      </w:r>
      <w:r>
        <w:rPr>
          <w:szCs w:val="20"/>
        </w:rPr>
        <w:t>,</w:t>
      </w:r>
      <w:r>
        <w:rPr>
          <w:rFonts w:hint="eastAsia"/>
          <w:szCs w:val="20"/>
        </w:rPr>
        <w:t xml:space="preserve"> Further discussion on potential power saving schemes for RRC connected UEs</w:t>
      </w:r>
      <w:r>
        <w:rPr>
          <w:szCs w:val="20"/>
        </w:rPr>
        <w:t xml:space="preserve">, ZTE, Sanechips, 2021-10. </w:t>
      </w:r>
    </w:p>
    <w:p w:rsidR="00BA4952" w:rsidRDefault="00C56E6B">
      <w:pPr>
        <w:pStyle w:val="References"/>
        <w:spacing w:before="120" w:after="120"/>
        <w:ind w:left="363" w:hanging="363"/>
        <w:rPr>
          <w:szCs w:val="20"/>
        </w:rPr>
      </w:pPr>
      <w:r>
        <w:t>Draft Report of 3GPP TSG RAN WG1 #10</w:t>
      </w:r>
      <w:r>
        <w:rPr>
          <w:rFonts w:hint="eastAsia"/>
        </w:rPr>
        <w:t>5</w:t>
      </w:r>
      <w:r>
        <w:t>-e</w:t>
      </w:r>
      <w:r>
        <w:rPr>
          <w:rFonts w:hint="eastAsia"/>
        </w:rPr>
        <w:t>, 3GPP TSG RAN1#105-e, 2021-06.</w:t>
      </w:r>
    </w:p>
    <w:p w:rsidR="00BA4952" w:rsidRDefault="00C56E6B">
      <w:pPr>
        <w:pStyle w:val="References"/>
        <w:spacing w:before="120" w:after="120"/>
        <w:ind w:left="363" w:hanging="363"/>
        <w:rPr>
          <w:szCs w:val="20"/>
        </w:rPr>
      </w:pPr>
      <w:r>
        <w:rPr>
          <w:rFonts w:hint="eastAsia"/>
          <w:szCs w:val="20"/>
        </w:rPr>
        <w:t>3GPP TS 38.213 V16.5.0, 2021-03.</w:t>
      </w:r>
    </w:p>
    <w:p w:rsidR="00BA4952" w:rsidRDefault="00C56E6B">
      <w:pPr>
        <w:pStyle w:val="References"/>
        <w:spacing w:before="120" w:after="120"/>
        <w:ind w:left="363" w:hanging="363"/>
        <w:rPr>
          <w:szCs w:val="20"/>
        </w:rPr>
      </w:pPr>
      <w:r>
        <w:rPr>
          <w:rFonts w:hint="eastAsia"/>
          <w:szCs w:val="20"/>
        </w:rPr>
        <w:t>R1-2002786, Summary of email discussion [100b-e-NR-unlic-NRU-DL_Signals_and_Channels-01] on SS group sets, RAN1#100b-e, Moderator (Lenovo)</w:t>
      </w:r>
    </w:p>
    <w:bookmarkEnd w:id="82"/>
    <w:p w:rsidR="00BA4952" w:rsidRDefault="00BA4952">
      <w:pPr>
        <w:pStyle w:val="References"/>
        <w:numPr>
          <w:ilvl w:val="0"/>
          <w:numId w:val="0"/>
        </w:numPr>
        <w:spacing w:before="120" w:after="120"/>
        <w:rPr>
          <w:szCs w:val="20"/>
        </w:rPr>
      </w:pPr>
    </w:p>
    <w:p w:rsidR="00BA4952" w:rsidRDefault="00C56E6B">
      <w:pPr>
        <w:pStyle w:val="1"/>
        <w:numPr>
          <w:ilvl w:val="0"/>
          <w:numId w:val="0"/>
        </w:numPr>
        <w:spacing w:before="120" w:after="120"/>
        <w:rPr>
          <w:rFonts w:ascii="Times New Roman" w:eastAsia="Times New Roman" w:hAnsi="Times New Roman"/>
          <w:b/>
          <w:sz w:val="24"/>
          <w:szCs w:val="24"/>
        </w:rPr>
      </w:pPr>
      <w:r>
        <w:rPr>
          <w:rFonts w:ascii="Times New Roman" w:eastAsia="Times New Roman" w:hAnsi="Times New Roman"/>
          <w:b/>
          <w:sz w:val="24"/>
          <w:szCs w:val="24"/>
        </w:rPr>
        <w:t>Appendix</w:t>
      </w:r>
    </w:p>
    <w:p w:rsidR="00BA4952" w:rsidRDefault="00BA4952">
      <w:pPr>
        <w:pStyle w:val="a4"/>
        <w:tabs>
          <w:tab w:val="left" w:pos="420"/>
        </w:tabs>
        <w:snapToGrid w:val="0"/>
        <w:spacing w:before="120" w:after="120" w:line="268" w:lineRule="auto"/>
        <w:contextualSpacing/>
        <w:rPr>
          <w:szCs w:val="22"/>
        </w:rPr>
      </w:pPr>
    </w:p>
    <w:p w:rsidR="00BA4952" w:rsidRDefault="00C56E6B">
      <w:pPr>
        <w:spacing w:before="120" w:after="120"/>
        <w:jc w:val="center"/>
        <w:rPr>
          <w:b/>
        </w:rPr>
      </w:pPr>
      <w:r>
        <w:rPr>
          <w:b/>
        </w:rPr>
        <w:t xml:space="preserve">Table </w:t>
      </w:r>
      <w:r>
        <w:rPr>
          <w:rFonts w:hint="eastAsia"/>
          <w:b/>
        </w:rPr>
        <w:t>A.1</w:t>
      </w:r>
      <w:r>
        <w:rPr>
          <w:b/>
        </w:rPr>
        <w:t xml:space="preserve"> Processing time N for responding DL SPS PDSCH release [symbols]</w:t>
      </w:r>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
        <w:gridCol w:w="6364"/>
        <w:gridCol w:w="1489"/>
      </w:tblGrid>
      <w:tr w:rsidR="00BA4952">
        <w:trPr>
          <w:trHeight w:val="702"/>
          <w:jc w:val="center"/>
        </w:trPr>
        <w:tc>
          <w:tcPr>
            <w:tcW w:w="330" w:type="dxa"/>
            <w:vAlign w:val="center"/>
          </w:tcPr>
          <w:p w:rsidR="00BA4952" w:rsidRDefault="00C56E6B">
            <w:pPr>
              <w:pStyle w:val="TAH"/>
              <w:spacing w:before="120" w:after="120"/>
              <w:rPr>
                <w:rFonts w:ascii="Times New Roman" w:hAnsi="Times New Roman"/>
                <w:sz w:val="20"/>
              </w:rPr>
            </w:pPr>
            <w:r>
              <w:rPr>
                <w:rFonts w:ascii="Times New Roman" w:hAnsi="Times New Roman"/>
                <w:sz w:val="20"/>
              </w:rPr>
              <w:t>μ</w:t>
            </w:r>
          </w:p>
        </w:tc>
        <w:tc>
          <w:tcPr>
            <w:tcW w:w="6364" w:type="dxa"/>
          </w:tcPr>
          <w:p w:rsidR="00BA4952" w:rsidRDefault="00C56E6B">
            <w:pPr>
              <w:spacing w:before="120" w:after="120"/>
              <w:rPr>
                <w:rFonts w:eastAsia="Batang"/>
                <w:b/>
                <w:color w:val="000000"/>
                <w:sz w:val="20"/>
                <w:lang w:eastAsia="en-US"/>
              </w:rPr>
            </w:pPr>
            <w:r>
              <w:rPr>
                <w:rFonts w:eastAsia="Batang"/>
                <w:b/>
                <w:color w:val="000000"/>
                <w:sz w:val="20"/>
                <w:lang w:eastAsia="en-US"/>
              </w:rPr>
              <w:t xml:space="preserve">N [symbols], </w:t>
            </w:r>
          </w:p>
          <w:p w:rsidR="00BA4952" w:rsidRDefault="00C56E6B">
            <w:pPr>
              <w:spacing w:before="120" w:after="120"/>
              <w:rPr>
                <w:rFonts w:eastAsia="Batang"/>
                <w:b/>
                <w:color w:val="000000"/>
                <w:sz w:val="20"/>
                <w:lang w:eastAsia="en-US"/>
              </w:rPr>
            </w:pPr>
            <w:r>
              <w:rPr>
                <w:rFonts w:eastAsia="Batang"/>
                <w:b/>
                <w:color w:val="000000"/>
                <w:sz w:val="20"/>
                <w:lang w:eastAsia="en-US"/>
              </w:rPr>
              <w:t xml:space="preserve">if </w:t>
            </w:r>
            <w:r>
              <w:rPr>
                <w:rFonts w:eastAsia="Batang"/>
                <w:b/>
                <w:i/>
                <w:iCs/>
                <w:color w:val="000000"/>
                <w:sz w:val="20"/>
                <w:lang w:eastAsia="en-US"/>
              </w:rPr>
              <w:t>processingType2Enabled</w:t>
            </w:r>
            <w:r>
              <w:rPr>
                <w:rFonts w:eastAsia="Batang"/>
                <w:b/>
                <w:color w:val="000000"/>
                <w:sz w:val="20"/>
                <w:lang w:eastAsia="en-US"/>
              </w:rPr>
              <w:t xml:space="preserve"> of </w:t>
            </w:r>
            <w:r>
              <w:rPr>
                <w:rFonts w:eastAsia="Batang"/>
                <w:b/>
                <w:i/>
                <w:iCs/>
                <w:color w:val="000000"/>
                <w:sz w:val="20"/>
                <w:lang w:eastAsia="en-US"/>
              </w:rPr>
              <w:t>PDSCH-ServingCellConfig</w:t>
            </w:r>
            <w:r>
              <w:rPr>
                <w:rFonts w:eastAsia="Batang"/>
                <w:b/>
                <w:color w:val="000000"/>
                <w:sz w:val="20"/>
                <w:lang w:eastAsia="en-US"/>
              </w:rPr>
              <w:t xml:space="preserve"> is set to enable</w:t>
            </w:r>
          </w:p>
        </w:tc>
        <w:tc>
          <w:tcPr>
            <w:tcW w:w="1489" w:type="dxa"/>
          </w:tcPr>
          <w:p w:rsidR="00BA4952" w:rsidRDefault="00C56E6B">
            <w:pPr>
              <w:spacing w:before="120" w:after="120"/>
              <w:rPr>
                <w:rFonts w:eastAsia="Batang"/>
                <w:b/>
                <w:color w:val="000000"/>
                <w:sz w:val="20"/>
                <w:lang w:eastAsia="en-US"/>
              </w:rPr>
            </w:pPr>
            <w:r>
              <w:rPr>
                <w:rFonts w:eastAsia="Batang"/>
                <w:b/>
                <w:color w:val="000000"/>
                <w:sz w:val="20"/>
                <w:lang w:eastAsia="en-US"/>
              </w:rPr>
              <w:t xml:space="preserve">N [symbols], </w:t>
            </w:r>
          </w:p>
          <w:p w:rsidR="00BA4952" w:rsidRDefault="00C56E6B">
            <w:pPr>
              <w:spacing w:before="120" w:after="120"/>
              <w:rPr>
                <w:rFonts w:eastAsia="Batang"/>
                <w:b/>
                <w:color w:val="000000"/>
                <w:sz w:val="20"/>
                <w:lang w:eastAsia="en-US"/>
              </w:rPr>
            </w:pPr>
            <w:r>
              <w:rPr>
                <w:rFonts w:eastAsia="Batang"/>
                <w:b/>
                <w:color w:val="000000"/>
                <w:sz w:val="20"/>
                <w:lang w:eastAsia="en-US"/>
              </w:rPr>
              <w:t>otherwise</w:t>
            </w:r>
          </w:p>
        </w:tc>
      </w:tr>
      <w:tr w:rsidR="00BA4952">
        <w:trPr>
          <w:jc w:val="center"/>
        </w:trPr>
        <w:tc>
          <w:tcPr>
            <w:tcW w:w="330" w:type="dxa"/>
            <w:vAlign w:val="center"/>
          </w:tcPr>
          <w:p w:rsidR="00BA4952" w:rsidRDefault="00C56E6B">
            <w:pPr>
              <w:pStyle w:val="TAC"/>
              <w:spacing w:before="120" w:after="120"/>
              <w:rPr>
                <w:rFonts w:ascii="Times New Roman" w:hAnsi="Times New Roman"/>
                <w:sz w:val="20"/>
              </w:rPr>
            </w:pPr>
            <w:r>
              <w:rPr>
                <w:rFonts w:ascii="Times New Roman" w:hAnsi="Times New Roman"/>
                <w:sz w:val="20"/>
              </w:rPr>
              <w:t>0</w:t>
            </w:r>
          </w:p>
        </w:tc>
        <w:tc>
          <w:tcPr>
            <w:tcW w:w="6364" w:type="dxa"/>
          </w:tcPr>
          <w:p w:rsidR="00BA4952" w:rsidRDefault="00C56E6B">
            <w:pPr>
              <w:spacing w:before="120" w:after="120"/>
            </w:pPr>
            <w:r>
              <w:t>5</w:t>
            </w:r>
          </w:p>
        </w:tc>
        <w:tc>
          <w:tcPr>
            <w:tcW w:w="1489" w:type="dxa"/>
          </w:tcPr>
          <w:p w:rsidR="00BA4952" w:rsidRDefault="00C56E6B">
            <w:pPr>
              <w:spacing w:before="120" w:after="120"/>
            </w:pPr>
            <w:r>
              <w:t>10</w:t>
            </w:r>
          </w:p>
        </w:tc>
      </w:tr>
      <w:tr w:rsidR="00BA4952">
        <w:trPr>
          <w:jc w:val="center"/>
        </w:trPr>
        <w:tc>
          <w:tcPr>
            <w:tcW w:w="330" w:type="dxa"/>
            <w:vAlign w:val="center"/>
          </w:tcPr>
          <w:p w:rsidR="00BA4952" w:rsidRDefault="00C56E6B">
            <w:pPr>
              <w:pStyle w:val="TAC"/>
              <w:spacing w:before="120" w:after="120"/>
              <w:rPr>
                <w:rFonts w:ascii="Times New Roman" w:hAnsi="Times New Roman"/>
                <w:sz w:val="20"/>
              </w:rPr>
            </w:pPr>
            <w:r>
              <w:rPr>
                <w:rFonts w:ascii="Times New Roman" w:hAnsi="Times New Roman"/>
                <w:sz w:val="20"/>
              </w:rPr>
              <w:t>1</w:t>
            </w:r>
          </w:p>
        </w:tc>
        <w:tc>
          <w:tcPr>
            <w:tcW w:w="6364" w:type="dxa"/>
          </w:tcPr>
          <w:p w:rsidR="00BA4952" w:rsidRDefault="00C56E6B">
            <w:pPr>
              <w:spacing w:before="120" w:after="120"/>
            </w:pPr>
            <w:r>
              <w:t>5.5</w:t>
            </w:r>
          </w:p>
        </w:tc>
        <w:tc>
          <w:tcPr>
            <w:tcW w:w="1489" w:type="dxa"/>
          </w:tcPr>
          <w:p w:rsidR="00BA4952" w:rsidRDefault="00C56E6B">
            <w:pPr>
              <w:spacing w:before="120" w:after="120"/>
            </w:pPr>
            <w:r>
              <w:t>12</w:t>
            </w:r>
          </w:p>
        </w:tc>
      </w:tr>
      <w:tr w:rsidR="00BA4952">
        <w:trPr>
          <w:jc w:val="center"/>
        </w:trPr>
        <w:tc>
          <w:tcPr>
            <w:tcW w:w="330" w:type="dxa"/>
            <w:vAlign w:val="center"/>
          </w:tcPr>
          <w:p w:rsidR="00BA4952" w:rsidRDefault="00C56E6B">
            <w:pPr>
              <w:pStyle w:val="TAC"/>
              <w:spacing w:before="120" w:after="120"/>
              <w:rPr>
                <w:rFonts w:ascii="Times New Roman" w:hAnsi="Times New Roman"/>
                <w:sz w:val="20"/>
              </w:rPr>
            </w:pPr>
            <w:r>
              <w:rPr>
                <w:rFonts w:ascii="Times New Roman" w:hAnsi="Times New Roman"/>
                <w:sz w:val="20"/>
              </w:rPr>
              <w:t>2</w:t>
            </w:r>
          </w:p>
        </w:tc>
        <w:tc>
          <w:tcPr>
            <w:tcW w:w="6364" w:type="dxa"/>
          </w:tcPr>
          <w:p w:rsidR="00BA4952" w:rsidRDefault="00C56E6B">
            <w:pPr>
              <w:spacing w:before="120" w:after="120"/>
            </w:pPr>
            <w:r>
              <w:t>11</w:t>
            </w:r>
          </w:p>
        </w:tc>
        <w:tc>
          <w:tcPr>
            <w:tcW w:w="1489" w:type="dxa"/>
          </w:tcPr>
          <w:p w:rsidR="00BA4952" w:rsidRDefault="00C56E6B">
            <w:pPr>
              <w:spacing w:before="120" w:after="120"/>
            </w:pPr>
            <w:r>
              <w:t>22</w:t>
            </w:r>
          </w:p>
        </w:tc>
      </w:tr>
      <w:tr w:rsidR="00BA4952">
        <w:trPr>
          <w:jc w:val="center"/>
        </w:trPr>
        <w:tc>
          <w:tcPr>
            <w:tcW w:w="330" w:type="dxa"/>
            <w:vAlign w:val="center"/>
          </w:tcPr>
          <w:p w:rsidR="00BA4952" w:rsidRDefault="00C56E6B">
            <w:pPr>
              <w:pStyle w:val="TAC"/>
              <w:spacing w:before="120" w:after="120"/>
              <w:rPr>
                <w:rFonts w:ascii="Times New Roman" w:hAnsi="Times New Roman"/>
                <w:sz w:val="20"/>
              </w:rPr>
            </w:pPr>
            <w:r>
              <w:rPr>
                <w:rFonts w:ascii="Times New Roman" w:hAnsi="Times New Roman"/>
                <w:sz w:val="20"/>
              </w:rPr>
              <w:t>3</w:t>
            </w:r>
          </w:p>
        </w:tc>
        <w:tc>
          <w:tcPr>
            <w:tcW w:w="6364" w:type="dxa"/>
          </w:tcPr>
          <w:p w:rsidR="00BA4952" w:rsidRDefault="00BA4952">
            <w:pPr>
              <w:spacing w:before="120" w:after="120"/>
            </w:pPr>
          </w:p>
        </w:tc>
        <w:tc>
          <w:tcPr>
            <w:tcW w:w="1489" w:type="dxa"/>
          </w:tcPr>
          <w:p w:rsidR="00BA4952" w:rsidRDefault="00C56E6B">
            <w:pPr>
              <w:spacing w:before="120" w:after="120"/>
            </w:pPr>
            <w:r>
              <w:t>25</w:t>
            </w:r>
          </w:p>
        </w:tc>
      </w:tr>
    </w:tbl>
    <w:p w:rsidR="00BA4952" w:rsidRDefault="00C56E6B">
      <w:pPr>
        <w:spacing w:before="120" w:after="120" w:line="260" w:lineRule="auto"/>
        <w:rPr>
          <w:sz w:val="20"/>
        </w:rPr>
      </w:pPr>
      <w:r>
        <w:t xml:space="preserve"> </w:t>
      </w:r>
    </w:p>
    <w:p w:rsidR="00BA4952" w:rsidRDefault="00BA4952">
      <w:pPr>
        <w:spacing w:beforeLines="0" w:afterLines="0"/>
        <w:jc w:val="left"/>
      </w:pPr>
    </w:p>
    <w:sectPr w:rsidR="00BA4952">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944" w:rsidRDefault="00D07944">
      <w:pPr>
        <w:spacing w:before="120" w:after="120" w:line="240" w:lineRule="auto"/>
      </w:pPr>
      <w:r>
        <w:separator/>
      </w:r>
    </w:p>
  </w:endnote>
  <w:endnote w:type="continuationSeparator" w:id="0">
    <w:p w:rsidR="00D07944" w:rsidRDefault="00D0794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ivaldi">
    <w:altName w:val="Mongolian Baiti"/>
    <w:panose1 w:val="03020602050506090804"/>
    <w:charset w:val="00"/>
    <w:family w:val="script"/>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52" w:rsidRDefault="00BA4952">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52" w:rsidRDefault="00C56E6B">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A4952" w:rsidRDefault="00C56E6B">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D23CE0">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A4952" w:rsidRDefault="00C56E6B">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D23CE0">
                      <w:rPr>
                        <w:noProof/>
                      </w:rPr>
                      <w:t>5</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52" w:rsidRDefault="00BA4952">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944" w:rsidRDefault="00D07944">
      <w:pPr>
        <w:spacing w:before="120" w:after="120" w:line="240" w:lineRule="auto"/>
      </w:pPr>
      <w:r>
        <w:separator/>
      </w:r>
    </w:p>
  </w:footnote>
  <w:footnote w:type="continuationSeparator" w:id="0">
    <w:p w:rsidR="00D07944" w:rsidRDefault="00D0794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52" w:rsidRDefault="00BA4952">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52" w:rsidRDefault="00BA4952">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52" w:rsidRDefault="00BA4952">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24AA29"/>
    <w:multiLevelType w:val="multilevel"/>
    <w:tmpl w:val="9E24AA29"/>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0D9673D7"/>
    <w:multiLevelType w:val="multilevel"/>
    <w:tmpl w:val="0D9673D7"/>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Vivaldi" w:hAnsi="Vivaldi" w:hint="default"/>
      </w:rPr>
    </w:lvl>
    <w:lvl w:ilvl="2">
      <w:start w:val="1"/>
      <w:numFmt w:val="bullet"/>
      <w:lvlText w:val="-"/>
      <w:lvlJc w:val="left"/>
      <w:pPr>
        <w:tabs>
          <w:tab w:val="left" w:pos="1260"/>
        </w:tabs>
        <w:ind w:left="1260" w:hanging="420"/>
      </w:pPr>
      <w:rPr>
        <w:rFonts w:ascii="Vivaldi" w:hAnsi="Vivaldi" w:hint="default"/>
        <w:sz w:val="18"/>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2500E58A"/>
    <w:multiLevelType w:val="singleLevel"/>
    <w:tmpl w:val="2500E58A"/>
    <w:lvl w:ilvl="0">
      <w:start w:val="1"/>
      <w:numFmt w:val="bullet"/>
      <w:lvlText w:val=""/>
      <w:lvlJc w:val="left"/>
      <w:pPr>
        <w:ind w:left="420" w:hanging="420"/>
      </w:pPr>
      <w:rPr>
        <w:rFonts w:ascii="Wingdings" w:hAnsi="Wingdings" w:hint="default"/>
      </w:rPr>
    </w:lvl>
  </w:abstractNum>
  <w:abstractNum w:abstractNumId="7">
    <w:nsid w:val="2E1C3B90"/>
    <w:multiLevelType w:val="singleLevel"/>
    <w:tmpl w:val="2E1C3B90"/>
    <w:lvl w:ilvl="0">
      <w:start w:val="1"/>
      <w:numFmt w:val="bullet"/>
      <w:lvlText w:val=""/>
      <w:lvlJc w:val="left"/>
      <w:pPr>
        <w:tabs>
          <w:tab w:val="left" w:pos="420"/>
        </w:tabs>
        <w:ind w:left="840" w:hanging="420"/>
      </w:pPr>
      <w:rPr>
        <w:rFonts w:ascii="Symbol" w:hAnsi="Symbol" w:cs="Symbol" w:hint="default"/>
      </w:rPr>
    </w:lvl>
  </w:abstractNum>
  <w:abstractNum w:abstractNumId="8">
    <w:nsid w:val="2F7A0B22"/>
    <w:multiLevelType w:val="multilevel"/>
    <w:tmpl w:val="2F7A0B2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1DCE13B"/>
    <w:multiLevelType w:val="singleLevel"/>
    <w:tmpl w:val="41DCE13B"/>
    <w:lvl w:ilvl="0">
      <w:start w:val="1"/>
      <w:numFmt w:val="bullet"/>
      <w:lvlText w:val=""/>
      <w:lvlJc w:val="left"/>
      <w:pPr>
        <w:ind w:left="420" w:hanging="420"/>
      </w:pPr>
      <w:rPr>
        <w:rFonts w:ascii="Wingdings" w:hAnsi="Wingdings" w:hint="default"/>
        <w:sz w:val="10"/>
        <w:szCs w:val="10"/>
      </w:rPr>
    </w:lvl>
  </w:abstractNum>
  <w:abstractNum w:abstractNumId="11">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nsid w:val="6350B333"/>
    <w:multiLevelType w:val="singleLevel"/>
    <w:tmpl w:val="6350B333"/>
    <w:lvl w:ilvl="0">
      <w:start w:val="1"/>
      <w:numFmt w:val="bullet"/>
      <w:lvlText w:val=""/>
      <w:lvlJc w:val="left"/>
      <w:pPr>
        <w:ind w:left="420" w:hanging="420"/>
      </w:pPr>
      <w:rPr>
        <w:rFonts w:ascii="Wingdings" w:hAnsi="Wingdings" w:hint="default"/>
        <w:sz w:val="10"/>
        <w:szCs w:val="10"/>
      </w:rPr>
    </w:lvl>
  </w:abstractNum>
  <w:abstractNum w:abstractNumId="13">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1"/>
  </w:num>
  <w:num w:numId="3">
    <w:abstractNumId w:val="3"/>
  </w:num>
  <w:num w:numId="4">
    <w:abstractNumId w:val="13"/>
  </w:num>
  <w:num w:numId="5">
    <w:abstractNumId w:val="2"/>
  </w:num>
  <w:num w:numId="6">
    <w:abstractNumId w:val="11"/>
  </w:num>
  <w:num w:numId="7">
    <w:abstractNumId w:val="9"/>
  </w:num>
  <w:num w:numId="8">
    <w:abstractNumId w:val="8"/>
  </w:num>
  <w:num w:numId="9">
    <w:abstractNumId w:val="10"/>
  </w:num>
  <w:num w:numId="10">
    <w:abstractNumId w:val="12"/>
  </w:num>
  <w:num w:numId="11">
    <w:abstractNumId w:val="6"/>
  </w:num>
  <w:num w:numId="12">
    <w:abstractNumId w:val="0"/>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3DC"/>
    <w:rsid w:val="00012E89"/>
    <w:rsid w:val="00013735"/>
    <w:rsid w:val="00015154"/>
    <w:rsid w:val="00015BFB"/>
    <w:rsid w:val="00015EDB"/>
    <w:rsid w:val="00026E93"/>
    <w:rsid w:val="00042E39"/>
    <w:rsid w:val="0004491B"/>
    <w:rsid w:val="0005277F"/>
    <w:rsid w:val="00053E53"/>
    <w:rsid w:val="00064D22"/>
    <w:rsid w:val="00080105"/>
    <w:rsid w:val="00086E99"/>
    <w:rsid w:val="0009751D"/>
    <w:rsid w:val="000A0061"/>
    <w:rsid w:val="000A2163"/>
    <w:rsid w:val="000A346B"/>
    <w:rsid w:val="000A6B3B"/>
    <w:rsid w:val="000B5454"/>
    <w:rsid w:val="000B63CC"/>
    <w:rsid w:val="000C4927"/>
    <w:rsid w:val="000C7C50"/>
    <w:rsid w:val="000D26FB"/>
    <w:rsid w:val="000E501F"/>
    <w:rsid w:val="000F65FF"/>
    <w:rsid w:val="000F72AD"/>
    <w:rsid w:val="001034DA"/>
    <w:rsid w:val="0010617D"/>
    <w:rsid w:val="001163CA"/>
    <w:rsid w:val="001452CB"/>
    <w:rsid w:val="001506E9"/>
    <w:rsid w:val="00166DD7"/>
    <w:rsid w:val="00170E4A"/>
    <w:rsid w:val="00172A27"/>
    <w:rsid w:val="0019443E"/>
    <w:rsid w:val="001B6A16"/>
    <w:rsid w:val="001C396E"/>
    <w:rsid w:val="001E68D2"/>
    <w:rsid w:val="00200427"/>
    <w:rsid w:val="002040EC"/>
    <w:rsid w:val="00204BEB"/>
    <w:rsid w:val="00205F77"/>
    <w:rsid w:val="002113E9"/>
    <w:rsid w:val="00217072"/>
    <w:rsid w:val="002217CD"/>
    <w:rsid w:val="002254E5"/>
    <w:rsid w:val="002349AB"/>
    <w:rsid w:val="00254F7B"/>
    <w:rsid w:val="00266EB2"/>
    <w:rsid w:val="0026734A"/>
    <w:rsid w:val="00272E7B"/>
    <w:rsid w:val="00291E13"/>
    <w:rsid w:val="00292BDC"/>
    <w:rsid w:val="002A1851"/>
    <w:rsid w:val="002B3F85"/>
    <w:rsid w:val="002B4EB7"/>
    <w:rsid w:val="002B532D"/>
    <w:rsid w:val="002E66E8"/>
    <w:rsid w:val="002F25AA"/>
    <w:rsid w:val="00303048"/>
    <w:rsid w:val="0033143E"/>
    <w:rsid w:val="00331B1C"/>
    <w:rsid w:val="00331EF2"/>
    <w:rsid w:val="00334743"/>
    <w:rsid w:val="00354570"/>
    <w:rsid w:val="00367434"/>
    <w:rsid w:val="00367EF9"/>
    <w:rsid w:val="00370C23"/>
    <w:rsid w:val="00371CBB"/>
    <w:rsid w:val="00375A07"/>
    <w:rsid w:val="003766C6"/>
    <w:rsid w:val="00377BC5"/>
    <w:rsid w:val="00380742"/>
    <w:rsid w:val="00396ADB"/>
    <w:rsid w:val="003A103D"/>
    <w:rsid w:val="003A7E56"/>
    <w:rsid w:val="003B1149"/>
    <w:rsid w:val="003B217C"/>
    <w:rsid w:val="003C31D2"/>
    <w:rsid w:val="003D1DD7"/>
    <w:rsid w:val="003E38AE"/>
    <w:rsid w:val="003E4BBB"/>
    <w:rsid w:val="004265D0"/>
    <w:rsid w:val="004326F4"/>
    <w:rsid w:val="00441FB9"/>
    <w:rsid w:val="00452AB6"/>
    <w:rsid w:val="00453986"/>
    <w:rsid w:val="0045623B"/>
    <w:rsid w:val="00461AA7"/>
    <w:rsid w:val="0046721D"/>
    <w:rsid w:val="00476112"/>
    <w:rsid w:val="00477D6E"/>
    <w:rsid w:val="00496216"/>
    <w:rsid w:val="004A5821"/>
    <w:rsid w:val="004C0057"/>
    <w:rsid w:val="004C05FA"/>
    <w:rsid w:val="004C1151"/>
    <w:rsid w:val="004C7FE3"/>
    <w:rsid w:val="004F1990"/>
    <w:rsid w:val="004F342B"/>
    <w:rsid w:val="004F7324"/>
    <w:rsid w:val="00503141"/>
    <w:rsid w:val="00517339"/>
    <w:rsid w:val="005212D2"/>
    <w:rsid w:val="005228C9"/>
    <w:rsid w:val="00522A39"/>
    <w:rsid w:val="005420CA"/>
    <w:rsid w:val="005436CE"/>
    <w:rsid w:val="005439D4"/>
    <w:rsid w:val="00546231"/>
    <w:rsid w:val="005650A3"/>
    <w:rsid w:val="00566FDE"/>
    <w:rsid w:val="005802EF"/>
    <w:rsid w:val="005833B2"/>
    <w:rsid w:val="00583697"/>
    <w:rsid w:val="0058704C"/>
    <w:rsid w:val="00592F27"/>
    <w:rsid w:val="00597ADE"/>
    <w:rsid w:val="005A233A"/>
    <w:rsid w:val="005B065E"/>
    <w:rsid w:val="005C068A"/>
    <w:rsid w:val="005C7F61"/>
    <w:rsid w:val="005D14DB"/>
    <w:rsid w:val="005E6D49"/>
    <w:rsid w:val="005F1A12"/>
    <w:rsid w:val="005F3D0F"/>
    <w:rsid w:val="0062153B"/>
    <w:rsid w:val="0062167D"/>
    <w:rsid w:val="00633C6F"/>
    <w:rsid w:val="0063757E"/>
    <w:rsid w:val="006432A2"/>
    <w:rsid w:val="00643612"/>
    <w:rsid w:val="00645E5F"/>
    <w:rsid w:val="006517D3"/>
    <w:rsid w:val="00677C91"/>
    <w:rsid w:val="0068648D"/>
    <w:rsid w:val="00694163"/>
    <w:rsid w:val="006970AA"/>
    <w:rsid w:val="006A072C"/>
    <w:rsid w:val="006B10CB"/>
    <w:rsid w:val="006B63E2"/>
    <w:rsid w:val="006C415B"/>
    <w:rsid w:val="006C61BF"/>
    <w:rsid w:val="006D3CB8"/>
    <w:rsid w:val="006D42B1"/>
    <w:rsid w:val="006E69D1"/>
    <w:rsid w:val="006F0B4C"/>
    <w:rsid w:val="00711D48"/>
    <w:rsid w:val="00713810"/>
    <w:rsid w:val="007166E8"/>
    <w:rsid w:val="0074089D"/>
    <w:rsid w:val="007476DD"/>
    <w:rsid w:val="00781710"/>
    <w:rsid w:val="00795FC2"/>
    <w:rsid w:val="007A0C1E"/>
    <w:rsid w:val="007A24B9"/>
    <w:rsid w:val="007A5CFF"/>
    <w:rsid w:val="007B0734"/>
    <w:rsid w:val="007B379C"/>
    <w:rsid w:val="007C6A0A"/>
    <w:rsid w:val="007E53B8"/>
    <w:rsid w:val="007F5FF3"/>
    <w:rsid w:val="007F6B9D"/>
    <w:rsid w:val="008026B7"/>
    <w:rsid w:val="00812554"/>
    <w:rsid w:val="00817DE9"/>
    <w:rsid w:val="00830ED1"/>
    <w:rsid w:val="00847916"/>
    <w:rsid w:val="00847C97"/>
    <w:rsid w:val="00856229"/>
    <w:rsid w:val="00862777"/>
    <w:rsid w:val="008632D8"/>
    <w:rsid w:val="008650A2"/>
    <w:rsid w:val="0087435E"/>
    <w:rsid w:val="008776C3"/>
    <w:rsid w:val="00880E89"/>
    <w:rsid w:val="00894AD9"/>
    <w:rsid w:val="008A0205"/>
    <w:rsid w:val="008B7017"/>
    <w:rsid w:val="008B7CB0"/>
    <w:rsid w:val="008B7DB1"/>
    <w:rsid w:val="008C1A97"/>
    <w:rsid w:val="008C3050"/>
    <w:rsid w:val="008C329B"/>
    <w:rsid w:val="008C72D3"/>
    <w:rsid w:val="008D1D47"/>
    <w:rsid w:val="008D230F"/>
    <w:rsid w:val="008D38A0"/>
    <w:rsid w:val="008D4CC1"/>
    <w:rsid w:val="008D54B2"/>
    <w:rsid w:val="008E0B96"/>
    <w:rsid w:val="008E587D"/>
    <w:rsid w:val="008E617E"/>
    <w:rsid w:val="008F11DE"/>
    <w:rsid w:val="0090147B"/>
    <w:rsid w:val="00902230"/>
    <w:rsid w:val="00930332"/>
    <w:rsid w:val="00931643"/>
    <w:rsid w:val="00953CDE"/>
    <w:rsid w:val="009578F7"/>
    <w:rsid w:val="0096044C"/>
    <w:rsid w:val="00992CAA"/>
    <w:rsid w:val="0099436F"/>
    <w:rsid w:val="009944AA"/>
    <w:rsid w:val="009D1C4D"/>
    <w:rsid w:val="009D1E4F"/>
    <w:rsid w:val="009E2616"/>
    <w:rsid w:val="009E3CEF"/>
    <w:rsid w:val="00A027EF"/>
    <w:rsid w:val="00A02943"/>
    <w:rsid w:val="00A06031"/>
    <w:rsid w:val="00A12F88"/>
    <w:rsid w:val="00A14FF2"/>
    <w:rsid w:val="00A15E2F"/>
    <w:rsid w:val="00A4166A"/>
    <w:rsid w:val="00A46CC4"/>
    <w:rsid w:val="00A4786D"/>
    <w:rsid w:val="00A57F9E"/>
    <w:rsid w:val="00A70A28"/>
    <w:rsid w:val="00A878AE"/>
    <w:rsid w:val="00A92636"/>
    <w:rsid w:val="00A941B0"/>
    <w:rsid w:val="00AA6E04"/>
    <w:rsid w:val="00AD4752"/>
    <w:rsid w:val="00AE5669"/>
    <w:rsid w:val="00AF7C15"/>
    <w:rsid w:val="00B60EDF"/>
    <w:rsid w:val="00B66332"/>
    <w:rsid w:val="00B81A6F"/>
    <w:rsid w:val="00B85674"/>
    <w:rsid w:val="00B9484C"/>
    <w:rsid w:val="00BA4952"/>
    <w:rsid w:val="00BA715F"/>
    <w:rsid w:val="00BC22AE"/>
    <w:rsid w:val="00BD47B2"/>
    <w:rsid w:val="00BD52A6"/>
    <w:rsid w:val="00BD6309"/>
    <w:rsid w:val="00BE5EFB"/>
    <w:rsid w:val="00BE641D"/>
    <w:rsid w:val="00BF08AC"/>
    <w:rsid w:val="00BF1E7C"/>
    <w:rsid w:val="00BF4B0E"/>
    <w:rsid w:val="00C039ED"/>
    <w:rsid w:val="00C134B6"/>
    <w:rsid w:val="00C137DB"/>
    <w:rsid w:val="00C166BC"/>
    <w:rsid w:val="00C239A8"/>
    <w:rsid w:val="00C27740"/>
    <w:rsid w:val="00C37341"/>
    <w:rsid w:val="00C406CC"/>
    <w:rsid w:val="00C56E6B"/>
    <w:rsid w:val="00C637DC"/>
    <w:rsid w:val="00C774C8"/>
    <w:rsid w:val="00CA1DBD"/>
    <w:rsid w:val="00CA6701"/>
    <w:rsid w:val="00CB2B6E"/>
    <w:rsid w:val="00CB7131"/>
    <w:rsid w:val="00CC4532"/>
    <w:rsid w:val="00CD3761"/>
    <w:rsid w:val="00CE1AD7"/>
    <w:rsid w:val="00D01D40"/>
    <w:rsid w:val="00D07944"/>
    <w:rsid w:val="00D20A97"/>
    <w:rsid w:val="00D23CE0"/>
    <w:rsid w:val="00D26B1F"/>
    <w:rsid w:val="00D34BD5"/>
    <w:rsid w:val="00D40D43"/>
    <w:rsid w:val="00D50681"/>
    <w:rsid w:val="00D50800"/>
    <w:rsid w:val="00D5574F"/>
    <w:rsid w:val="00D62C07"/>
    <w:rsid w:val="00D70ECB"/>
    <w:rsid w:val="00D85AC8"/>
    <w:rsid w:val="00D96EA4"/>
    <w:rsid w:val="00DA5F51"/>
    <w:rsid w:val="00DB0ACF"/>
    <w:rsid w:val="00DB6BD7"/>
    <w:rsid w:val="00DC0F8B"/>
    <w:rsid w:val="00DD4B55"/>
    <w:rsid w:val="00DE5D6D"/>
    <w:rsid w:val="00E06B21"/>
    <w:rsid w:val="00E2140B"/>
    <w:rsid w:val="00E31E1F"/>
    <w:rsid w:val="00E40E07"/>
    <w:rsid w:val="00E56DD3"/>
    <w:rsid w:val="00E61B28"/>
    <w:rsid w:val="00E62A3D"/>
    <w:rsid w:val="00E67314"/>
    <w:rsid w:val="00E77887"/>
    <w:rsid w:val="00E85B8C"/>
    <w:rsid w:val="00E903BA"/>
    <w:rsid w:val="00EA4E8D"/>
    <w:rsid w:val="00EA62E5"/>
    <w:rsid w:val="00EA76D3"/>
    <w:rsid w:val="00EB3ED9"/>
    <w:rsid w:val="00EC0827"/>
    <w:rsid w:val="00EF6E23"/>
    <w:rsid w:val="00F01154"/>
    <w:rsid w:val="00F4095D"/>
    <w:rsid w:val="00F40E52"/>
    <w:rsid w:val="00F60223"/>
    <w:rsid w:val="00F765F4"/>
    <w:rsid w:val="00F958CC"/>
    <w:rsid w:val="00F97C0B"/>
    <w:rsid w:val="00FA3BED"/>
    <w:rsid w:val="00FA552B"/>
    <w:rsid w:val="00FA62E6"/>
    <w:rsid w:val="00FB5ABE"/>
    <w:rsid w:val="00FD2DE4"/>
    <w:rsid w:val="00FE01EF"/>
    <w:rsid w:val="00FE4365"/>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3073BDC"/>
    <w:rsid w:val="032134E9"/>
    <w:rsid w:val="033F44DC"/>
    <w:rsid w:val="037B5FB5"/>
    <w:rsid w:val="03915DEB"/>
    <w:rsid w:val="03985ACE"/>
    <w:rsid w:val="03D4716A"/>
    <w:rsid w:val="04130FE4"/>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7EA2457"/>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32D80"/>
    <w:rsid w:val="09BE4947"/>
    <w:rsid w:val="09F67CD5"/>
    <w:rsid w:val="0A1739BB"/>
    <w:rsid w:val="0A7B50B4"/>
    <w:rsid w:val="0A8A3FFF"/>
    <w:rsid w:val="0B3D5147"/>
    <w:rsid w:val="0B6B20A7"/>
    <w:rsid w:val="0B9E71DF"/>
    <w:rsid w:val="0BB427D1"/>
    <w:rsid w:val="0BCD5C26"/>
    <w:rsid w:val="0BF10670"/>
    <w:rsid w:val="0BF711B3"/>
    <w:rsid w:val="0C6F272A"/>
    <w:rsid w:val="0C9036C8"/>
    <w:rsid w:val="0C921354"/>
    <w:rsid w:val="0C9D30C2"/>
    <w:rsid w:val="0CA126F2"/>
    <w:rsid w:val="0CEA509E"/>
    <w:rsid w:val="0D2F3891"/>
    <w:rsid w:val="0D426E1A"/>
    <w:rsid w:val="0D9D65F4"/>
    <w:rsid w:val="0DEE7CA5"/>
    <w:rsid w:val="0E005225"/>
    <w:rsid w:val="0E172BD0"/>
    <w:rsid w:val="0E347579"/>
    <w:rsid w:val="0E6A1ECE"/>
    <w:rsid w:val="0E727239"/>
    <w:rsid w:val="0E8F0168"/>
    <w:rsid w:val="0E9B4F32"/>
    <w:rsid w:val="0EC34966"/>
    <w:rsid w:val="0F0B4FFE"/>
    <w:rsid w:val="0F123F4C"/>
    <w:rsid w:val="0F1E67DB"/>
    <w:rsid w:val="0F9861DB"/>
    <w:rsid w:val="0FA67E91"/>
    <w:rsid w:val="0FD80B60"/>
    <w:rsid w:val="0FDB5B48"/>
    <w:rsid w:val="100D6816"/>
    <w:rsid w:val="10860503"/>
    <w:rsid w:val="10A50104"/>
    <w:rsid w:val="10A85FA8"/>
    <w:rsid w:val="10B658BE"/>
    <w:rsid w:val="10BA5ACA"/>
    <w:rsid w:val="10C92880"/>
    <w:rsid w:val="10FA22E3"/>
    <w:rsid w:val="113B07A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834312"/>
    <w:rsid w:val="139D335C"/>
    <w:rsid w:val="13A1683F"/>
    <w:rsid w:val="13C2790D"/>
    <w:rsid w:val="141B6583"/>
    <w:rsid w:val="14400B3F"/>
    <w:rsid w:val="1442596B"/>
    <w:rsid w:val="144714E3"/>
    <w:rsid w:val="146A0337"/>
    <w:rsid w:val="14AC00B9"/>
    <w:rsid w:val="14D55B5C"/>
    <w:rsid w:val="14DA3DA1"/>
    <w:rsid w:val="14FC2402"/>
    <w:rsid w:val="1505370E"/>
    <w:rsid w:val="15284EB8"/>
    <w:rsid w:val="155F3495"/>
    <w:rsid w:val="15BB7E2E"/>
    <w:rsid w:val="164B2296"/>
    <w:rsid w:val="17025890"/>
    <w:rsid w:val="17155857"/>
    <w:rsid w:val="173B456E"/>
    <w:rsid w:val="177755DF"/>
    <w:rsid w:val="17950508"/>
    <w:rsid w:val="17C72718"/>
    <w:rsid w:val="18537599"/>
    <w:rsid w:val="18551679"/>
    <w:rsid w:val="188D68E8"/>
    <w:rsid w:val="189C69D9"/>
    <w:rsid w:val="18A72928"/>
    <w:rsid w:val="18C87C77"/>
    <w:rsid w:val="18F90C9A"/>
    <w:rsid w:val="19010C43"/>
    <w:rsid w:val="19013AC7"/>
    <w:rsid w:val="19084C73"/>
    <w:rsid w:val="194A0457"/>
    <w:rsid w:val="194F6F37"/>
    <w:rsid w:val="196018AD"/>
    <w:rsid w:val="196E5824"/>
    <w:rsid w:val="19AF5AFD"/>
    <w:rsid w:val="19BF7943"/>
    <w:rsid w:val="1A054259"/>
    <w:rsid w:val="1A097942"/>
    <w:rsid w:val="1ACB6909"/>
    <w:rsid w:val="1B2B6940"/>
    <w:rsid w:val="1B5838BD"/>
    <w:rsid w:val="1B7F6005"/>
    <w:rsid w:val="1BA05608"/>
    <w:rsid w:val="1BAF4E35"/>
    <w:rsid w:val="1BAF6DD1"/>
    <w:rsid w:val="1BE82D8F"/>
    <w:rsid w:val="1C0F5C4A"/>
    <w:rsid w:val="1C132CB9"/>
    <w:rsid w:val="1C177FB2"/>
    <w:rsid w:val="1C346C57"/>
    <w:rsid w:val="1CAA2901"/>
    <w:rsid w:val="1CB92F89"/>
    <w:rsid w:val="1CCC26CA"/>
    <w:rsid w:val="1D133E21"/>
    <w:rsid w:val="1D3A10D4"/>
    <w:rsid w:val="1D6041FB"/>
    <w:rsid w:val="1D61520F"/>
    <w:rsid w:val="1D786BCA"/>
    <w:rsid w:val="1D805936"/>
    <w:rsid w:val="1DA83A0D"/>
    <w:rsid w:val="1DDF2ACE"/>
    <w:rsid w:val="1E5D3C53"/>
    <w:rsid w:val="1E6D25EE"/>
    <w:rsid w:val="1E94181D"/>
    <w:rsid w:val="1E9D6342"/>
    <w:rsid w:val="1EBF09C1"/>
    <w:rsid w:val="1ECD4B11"/>
    <w:rsid w:val="1ED879BC"/>
    <w:rsid w:val="1EED420F"/>
    <w:rsid w:val="1EF17B6F"/>
    <w:rsid w:val="1F303978"/>
    <w:rsid w:val="1F6170A9"/>
    <w:rsid w:val="1F6200DE"/>
    <w:rsid w:val="1F652C38"/>
    <w:rsid w:val="1F9C5BBE"/>
    <w:rsid w:val="1FE14460"/>
    <w:rsid w:val="20200CA4"/>
    <w:rsid w:val="203063E1"/>
    <w:rsid w:val="204E6676"/>
    <w:rsid w:val="205C6F65"/>
    <w:rsid w:val="205F334B"/>
    <w:rsid w:val="20AA7DFE"/>
    <w:rsid w:val="20CB576A"/>
    <w:rsid w:val="20D06E12"/>
    <w:rsid w:val="20DC4C14"/>
    <w:rsid w:val="210634E6"/>
    <w:rsid w:val="21241A3D"/>
    <w:rsid w:val="212440E3"/>
    <w:rsid w:val="215416B9"/>
    <w:rsid w:val="21822343"/>
    <w:rsid w:val="2194141D"/>
    <w:rsid w:val="2195668B"/>
    <w:rsid w:val="21A2535F"/>
    <w:rsid w:val="21A9601A"/>
    <w:rsid w:val="21AC0BE7"/>
    <w:rsid w:val="21BE044A"/>
    <w:rsid w:val="21BE5AD4"/>
    <w:rsid w:val="21CA2BAC"/>
    <w:rsid w:val="224E2FB0"/>
    <w:rsid w:val="22720857"/>
    <w:rsid w:val="22C84A78"/>
    <w:rsid w:val="23081A49"/>
    <w:rsid w:val="23696DA2"/>
    <w:rsid w:val="23A82A04"/>
    <w:rsid w:val="23B54B12"/>
    <w:rsid w:val="23D11AFC"/>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24A28"/>
    <w:rsid w:val="26F71EC7"/>
    <w:rsid w:val="274120CE"/>
    <w:rsid w:val="27593DCB"/>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45677B"/>
    <w:rsid w:val="296A164B"/>
    <w:rsid w:val="299711A3"/>
    <w:rsid w:val="29FA7F26"/>
    <w:rsid w:val="2A0F0262"/>
    <w:rsid w:val="2A11490E"/>
    <w:rsid w:val="2A24123C"/>
    <w:rsid w:val="2A62300C"/>
    <w:rsid w:val="2A7903F8"/>
    <w:rsid w:val="2A9E41A6"/>
    <w:rsid w:val="2AD176E8"/>
    <w:rsid w:val="2B774832"/>
    <w:rsid w:val="2BC93350"/>
    <w:rsid w:val="2BCA1C44"/>
    <w:rsid w:val="2BE1364E"/>
    <w:rsid w:val="2C0A1E9D"/>
    <w:rsid w:val="2C4735A9"/>
    <w:rsid w:val="2C5312D1"/>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14373A"/>
    <w:rsid w:val="32586AD3"/>
    <w:rsid w:val="327F30CF"/>
    <w:rsid w:val="329A6ACE"/>
    <w:rsid w:val="32AB75FA"/>
    <w:rsid w:val="32C64BD3"/>
    <w:rsid w:val="334F3544"/>
    <w:rsid w:val="33834A37"/>
    <w:rsid w:val="33A253D1"/>
    <w:rsid w:val="33FF73F9"/>
    <w:rsid w:val="34371266"/>
    <w:rsid w:val="345B1306"/>
    <w:rsid w:val="348D3D32"/>
    <w:rsid w:val="34CB6483"/>
    <w:rsid w:val="34EC39C4"/>
    <w:rsid w:val="35191B59"/>
    <w:rsid w:val="35997ED3"/>
    <w:rsid w:val="35B0594E"/>
    <w:rsid w:val="35B344D1"/>
    <w:rsid w:val="35C47CF3"/>
    <w:rsid w:val="35D5780F"/>
    <w:rsid w:val="360673D5"/>
    <w:rsid w:val="360B1D73"/>
    <w:rsid w:val="360B7EE7"/>
    <w:rsid w:val="361F3323"/>
    <w:rsid w:val="364A298F"/>
    <w:rsid w:val="364A7B2B"/>
    <w:rsid w:val="3659312E"/>
    <w:rsid w:val="3681117A"/>
    <w:rsid w:val="36854C1B"/>
    <w:rsid w:val="36E93760"/>
    <w:rsid w:val="3784394E"/>
    <w:rsid w:val="379B41C4"/>
    <w:rsid w:val="37F25734"/>
    <w:rsid w:val="380A0B96"/>
    <w:rsid w:val="38337F5B"/>
    <w:rsid w:val="385135F5"/>
    <w:rsid w:val="385F665C"/>
    <w:rsid w:val="388E6551"/>
    <w:rsid w:val="38AE3BB0"/>
    <w:rsid w:val="38D739DA"/>
    <w:rsid w:val="38DC5505"/>
    <w:rsid w:val="391F7D60"/>
    <w:rsid w:val="392E58B6"/>
    <w:rsid w:val="393C332E"/>
    <w:rsid w:val="39496AE3"/>
    <w:rsid w:val="3985660B"/>
    <w:rsid w:val="39BB13DA"/>
    <w:rsid w:val="39DB06B3"/>
    <w:rsid w:val="3A127976"/>
    <w:rsid w:val="3A1704BF"/>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DF77E46"/>
    <w:rsid w:val="3E39525D"/>
    <w:rsid w:val="3E441C7D"/>
    <w:rsid w:val="3E7F0554"/>
    <w:rsid w:val="3ECB2614"/>
    <w:rsid w:val="3F104E7C"/>
    <w:rsid w:val="3F1E19C9"/>
    <w:rsid w:val="3F7009A7"/>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7A1EF8"/>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625625"/>
    <w:rsid w:val="43B97E64"/>
    <w:rsid w:val="43D54F80"/>
    <w:rsid w:val="44096344"/>
    <w:rsid w:val="440D5045"/>
    <w:rsid w:val="4466378D"/>
    <w:rsid w:val="44F5724A"/>
    <w:rsid w:val="454B31E9"/>
    <w:rsid w:val="4555581D"/>
    <w:rsid w:val="457602B0"/>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C600E6"/>
    <w:rsid w:val="48D321B5"/>
    <w:rsid w:val="48DC6BCF"/>
    <w:rsid w:val="49701211"/>
    <w:rsid w:val="49E9233D"/>
    <w:rsid w:val="4A2324A9"/>
    <w:rsid w:val="4A2C54FD"/>
    <w:rsid w:val="4A3703C6"/>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DB34FF"/>
    <w:rsid w:val="4EF32FFF"/>
    <w:rsid w:val="4F232A9C"/>
    <w:rsid w:val="4F2765B1"/>
    <w:rsid w:val="4F285975"/>
    <w:rsid w:val="4F5E2A8B"/>
    <w:rsid w:val="4F800800"/>
    <w:rsid w:val="4F8E43A5"/>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492294"/>
    <w:rsid w:val="538F551C"/>
    <w:rsid w:val="539A390F"/>
    <w:rsid w:val="53DB3477"/>
    <w:rsid w:val="54181AF3"/>
    <w:rsid w:val="54AF6B42"/>
    <w:rsid w:val="54B205EE"/>
    <w:rsid w:val="54C140CB"/>
    <w:rsid w:val="54E218CB"/>
    <w:rsid w:val="54E44BF8"/>
    <w:rsid w:val="54E80108"/>
    <w:rsid w:val="54FC325C"/>
    <w:rsid w:val="55050D67"/>
    <w:rsid w:val="5510241A"/>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EA73B8"/>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A53FE"/>
    <w:rsid w:val="607C3753"/>
    <w:rsid w:val="609578A8"/>
    <w:rsid w:val="60C30855"/>
    <w:rsid w:val="60CC7FFA"/>
    <w:rsid w:val="610B17E6"/>
    <w:rsid w:val="61421EFD"/>
    <w:rsid w:val="615C2588"/>
    <w:rsid w:val="615C5041"/>
    <w:rsid w:val="61800D98"/>
    <w:rsid w:val="61D705BD"/>
    <w:rsid w:val="61DD59E8"/>
    <w:rsid w:val="61E56B7B"/>
    <w:rsid w:val="62420984"/>
    <w:rsid w:val="626C4E5F"/>
    <w:rsid w:val="6271154E"/>
    <w:rsid w:val="627D0863"/>
    <w:rsid w:val="62B70B91"/>
    <w:rsid w:val="63206216"/>
    <w:rsid w:val="634B3A82"/>
    <w:rsid w:val="63523344"/>
    <w:rsid w:val="63560707"/>
    <w:rsid w:val="6357067F"/>
    <w:rsid w:val="63A167BF"/>
    <w:rsid w:val="63D03DEE"/>
    <w:rsid w:val="63DD6E9C"/>
    <w:rsid w:val="641A2384"/>
    <w:rsid w:val="642167EE"/>
    <w:rsid w:val="64CB6601"/>
    <w:rsid w:val="64D008CC"/>
    <w:rsid w:val="64EF3666"/>
    <w:rsid w:val="64FC1880"/>
    <w:rsid w:val="65094EFF"/>
    <w:rsid w:val="651B3798"/>
    <w:rsid w:val="65370CD5"/>
    <w:rsid w:val="65847BBF"/>
    <w:rsid w:val="659C0FAD"/>
    <w:rsid w:val="65B57404"/>
    <w:rsid w:val="65B93A8D"/>
    <w:rsid w:val="65CA1E2C"/>
    <w:rsid w:val="65D975AE"/>
    <w:rsid w:val="661746DD"/>
    <w:rsid w:val="664805B8"/>
    <w:rsid w:val="665E34DC"/>
    <w:rsid w:val="66C053F3"/>
    <w:rsid w:val="66CD03F2"/>
    <w:rsid w:val="66D221EE"/>
    <w:rsid w:val="66DA55D7"/>
    <w:rsid w:val="66F82180"/>
    <w:rsid w:val="670F41E0"/>
    <w:rsid w:val="677D25E8"/>
    <w:rsid w:val="678A787F"/>
    <w:rsid w:val="67AD6B3A"/>
    <w:rsid w:val="67BD0300"/>
    <w:rsid w:val="67D325C4"/>
    <w:rsid w:val="68031C5B"/>
    <w:rsid w:val="682616B3"/>
    <w:rsid w:val="682A4EAB"/>
    <w:rsid w:val="68316174"/>
    <w:rsid w:val="684D34F9"/>
    <w:rsid w:val="68D74BD0"/>
    <w:rsid w:val="68F533A3"/>
    <w:rsid w:val="690453B7"/>
    <w:rsid w:val="690B53E9"/>
    <w:rsid w:val="690F418B"/>
    <w:rsid w:val="699323D6"/>
    <w:rsid w:val="69B32313"/>
    <w:rsid w:val="6A007B68"/>
    <w:rsid w:val="6A0409C8"/>
    <w:rsid w:val="6A700D2B"/>
    <w:rsid w:val="6A741183"/>
    <w:rsid w:val="6A7A2736"/>
    <w:rsid w:val="6A7B4B9C"/>
    <w:rsid w:val="6AA651A8"/>
    <w:rsid w:val="6AEB121D"/>
    <w:rsid w:val="6AFB78C4"/>
    <w:rsid w:val="6B004CFA"/>
    <w:rsid w:val="6B120A68"/>
    <w:rsid w:val="6B586E1F"/>
    <w:rsid w:val="6BAF5652"/>
    <w:rsid w:val="6C6F4FDA"/>
    <w:rsid w:val="6C89456C"/>
    <w:rsid w:val="6CA35C83"/>
    <w:rsid w:val="6CA52710"/>
    <w:rsid w:val="6CAC58B4"/>
    <w:rsid w:val="6CF2121C"/>
    <w:rsid w:val="6D362B4E"/>
    <w:rsid w:val="6D4A2539"/>
    <w:rsid w:val="6D572C9F"/>
    <w:rsid w:val="6D8352A0"/>
    <w:rsid w:val="6D97094D"/>
    <w:rsid w:val="6DAE632B"/>
    <w:rsid w:val="6DF009F6"/>
    <w:rsid w:val="6E217EA6"/>
    <w:rsid w:val="6E2666BC"/>
    <w:rsid w:val="6E2F175D"/>
    <w:rsid w:val="6E3B7611"/>
    <w:rsid w:val="6E605E8D"/>
    <w:rsid w:val="6E8959F5"/>
    <w:rsid w:val="6EBC6999"/>
    <w:rsid w:val="6EC062B0"/>
    <w:rsid w:val="6EDF5FC3"/>
    <w:rsid w:val="6EF90D33"/>
    <w:rsid w:val="6F3F60AD"/>
    <w:rsid w:val="6F7A5D4F"/>
    <w:rsid w:val="6F901B66"/>
    <w:rsid w:val="6FA629D4"/>
    <w:rsid w:val="6FA70F58"/>
    <w:rsid w:val="6FD10552"/>
    <w:rsid w:val="70014D67"/>
    <w:rsid w:val="70117B8A"/>
    <w:rsid w:val="70360B36"/>
    <w:rsid w:val="703B3228"/>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D425F7"/>
    <w:rsid w:val="73D6575A"/>
    <w:rsid w:val="73E2217A"/>
    <w:rsid w:val="73E636C1"/>
    <w:rsid w:val="74600E53"/>
    <w:rsid w:val="746A0CB1"/>
    <w:rsid w:val="74712AFB"/>
    <w:rsid w:val="74A31B48"/>
    <w:rsid w:val="74AE4111"/>
    <w:rsid w:val="74BC1C78"/>
    <w:rsid w:val="75035869"/>
    <w:rsid w:val="750A2023"/>
    <w:rsid w:val="75171C24"/>
    <w:rsid w:val="75486E94"/>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617342"/>
    <w:rsid w:val="77890DAA"/>
    <w:rsid w:val="77D835AD"/>
    <w:rsid w:val="77EE2F48"/>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119C8"/>
    <w:rsid w:val="7DB3208B"/>
    <w:rsid w:val="7DB5193A"/>
    <w:rsid w:val="7DB54254"/>
    <w:rsid w:val="7DD57D75"/>
    <w:rsid w:val="7E181D7D"/>
    <w:rsid w:val="7E3E1EF2"/>
    <w:rsid w:val="7E4B337A"/>
    <w:rsid w:val="7E5E744E"/>
    <w:rsid w:val="7E951513"/>
    <w:rsid w:val="7EA96AC5"/>
    <w:rsid w:val="7EB06086"/>
    <w:rsid w:val="7EC118B4"/>
    <w:rsid w:val="7EC83404"/>
    <w:rsid w:val="7ED01B68"/>
    <w:rsid w:val="7ED60A44"/>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6EB000-470C-43DC-9D01-9D612F20B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TH">
    <w:name w:val="TH"/>
    <w:basedOn w:val="a"/>
    <w:qFormat/>
    <w:pPr>
      <w:keepNext/>
      <w:keepLines/>
      <w:spacing w:before="60" w:after="180"/>
      <w:jc w:val="center"/>
    </w:pPr>
    <w:rPr>
      <w:b/>
      <w:lang w:eastAsia="en-US"/>
    </w:rPr>
  </w:style>
  <w:style w:type="paragraph" w:customStyle="1" w:styleId="TAH">
    <w:name w:val="TAH"/>
    <w:basedOn w:val="TAC"/>
    <w:qFormat/>
    <w:rPr>
      <w:b/>
    </w:rPr>
  </w:style>
  <w:style w:type="paragraph" w:customStyle="1" w:styleId="TAC">
    <w:name w:val="TAC"/>
    <w:basedOn w:val="TAL"/>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758EC-14F1-43CA-AE04-C95FFB47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3171</Words>
  <Characters>18077</Characters>
  <Application>Microsoft Office Word</Application>
  <DocSecurity>0</DocSecurity>
  <Lines>150</Lines>
  <Paragraphs>42</Paragraphs>
  <ScaleCrop>false</ScaleCrop>
  <Company/>
  <LinksUpToDate>false</LinksUpToDate>
  <CharactersWithSpaces>21206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ZTE,Mengzhu</cp:lastModifiedBy>
  <cp:revision>147</cp:revision>
  <dcterms:created xsi:type="dcterms:W3CDTF">2019-04-08T03:09:00Z</dcterms:created>
  <dcterms:modified xsi:type="dcterms:W3CDTF">2021-09-30T03:26:00Z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